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A7" w:rsidRDefault="00610B9D" w:rsidP="00210E33">
      <w:pPr>
        <w:tabs>
          <w:tab w:val="left" w:pos="1800"/>
        </w:tabs>
        <w:jc w:val="both"/>
        <w:rPr>
          <w:rFonts w:ascii="Arial" w:hAnsi="Arial" w:cs="Arial"/>
          <w:b/>
          <w:sz w:val="24"/>
          <w:szCs w:val="24"/>
        </w:rPr>
      </w:pPr>
      <w:bookmarkStart w:id="0" w:name="_GoBack"/>
      <w:bookmarkEnd w:id="0"/>
      <w:r>
        <w:rPr>
          <w:rFonts w:ascii="Arial" w:hAnsi="Arial" w:cs="Arial"/>
          <w:b/>
          <w:sz w:val="24"/>
          <w:szCs w:val="24"/>
        </w:rPr>
        <w:t xml:space="preserve">Evaluation of A </w:t>
      </w:r>
      <w:r w:rsidR="00A51DA7">
        <w:rPr>
          <w:rFonts w:ascii="Arial" w:hAnsi="Arial" w:cs="Arial"/>
          <w:b/>
          <w:sz w:val="24"/>
          <w:szCs w:val="24"/>
        </w:rPr>
        <w:t>Referral</w:t>
      </w:r>
      <w:r>
        <w:rPr>
          <w:rFonts w:ascii="Arial" w:hAnsi="Arial" w:cs="Arial"/>
          <w:b/>
          <w:sz w:val="24"/>
          <w:szCs w:val="24"/>
        </w:rPr>
        <w:t xml:space="preserve"> Pilot</w:t>
      </w:r>
      <w:r w:rsidR="00A51DA7">
        <w:rPr>
          <w:rFonts w:ascii="Arial" w:hAnsi="Arial" w:cs="Arial"/>
          <w:b/>
          <w:sz w:val="24"/>
          <w:szCs w:val="24"/>
        </w:rPr>
        <w:t xml:space="preserve"> Of Patients At Hospital Discharge For Domiciliary Medication Review In South Sefton</w:t>
      </w:r>
      <w:r>
        <w:rPr>
          <w:rFonts w:ascii="Arial" w:hAnsi="Arial" w:cs="Arial"/>
          <w:b/>
          <w:sz w:val="24"/>
          <w:szCs w:val="24"/>
        </w:rPr>
        <w:t xml:space="preserve"> Clinical Commissioning Group</w:t>
      </w:r>
    </w:p>
    <w:p w:rsidR="002F0594" w:rsidRPr="00A51DA7" w:rsidRDefault="002F0594" w:rsidP="002F0594">
      <w:pPr>
        <w:tabs>
          <w:tab w:val="left" w:pos="1800"/>
        </w:tabs>
        <w:jc w:val="both"/>
        <w:rPr>
          <w:rFonts w:ascii="Arial" w:hAnsi="Arial" w:cs="Arial"/>
          <w:b/>
          <w:sz w:val="24"/>
          <w:szCs w:val="24"/>
        </w:rPr>
      </w:pPr>
      <w:r w:rsidRPr="00A51DA7">
        <w:rPr>
          <w:rFonts w:ascii="Arial" w:hAnsi="Arial" w:cs="Arial"/>
          <w:b/>
          <w:sz w:val="24"/>
          <w:szCs w:val="24"/>
        </w:rPr>
        <w:t>Introduction</w:t>
      </w:r>
    </w:p>
    <w:p w:rsidR="00210E33" w:rsidRDefault="007D5CAB" w:rsidP="008B6009">
      <w:pPr>
        <w:tabs>
          <w:tab w:val="left" w:pos="1800"/>
        </w:tabs>
        <w:jc w:val="both"/>
        <w:rPr>
          <w:rFonts w:ascii="Arial" w:hAnsi="Arial" w:cs="Arial"/>
          <w:sz w:val="24"/>
          <w:szCs w:val="24"/>
        </w:rPr>
      </w:pPr>
      <w:r w:rsidRPr="00BE2C3D">
        <w:rPr>
          <w:rFonts w:ascii="Arial" w:hAnsi="Arial" w:cs="Arial"/>
          <w:sz w:val="24"/>
          <w:szCs w:val="24"/>
        </w:rPr>
        <w:t>Hospital discharge is a period of transition from hospital to home that involves transfer in responsibility for care from the inpatient provider to the pati</w:t>
      </w:r>
      <w:r w:rsidR="00E53F1D">
        <w:rPr>
          <w:rFonts w:ascii="Arial" w:hAnsi="Arial" w:cs="Arial"/>
          <w:sz w:val="24"/>
          <w:szCs w:val="24"/>
        </w:rPr>
        <w:t>ent and the primary care team [1</w:t>
      </w:r>
      <w:r w:rsidRPr="00BE2C3D">
        <w:rPr>
          <w:rFonts w:ascii="Arial" w:hAnsi="Arial" w:cs="Arial"/>
          <w:sz w:val="24"/>
          <w:szCs w:val="24"/>
        </w:rPr>
        <w:t>].  Inadequate communication and insufficient care co-ordination are common challenges during transfers of care.</w:t>
      </w:r>
      <w:r w:rsidR="00210E33" w:rsidRPr="00BE2C3D">
        <w:rPr>
          <w:rFonts w:ascii="Arial" w:hAnsi="Arial" w:cs="Arial"/>
          <w:sz w:val="24"/>
          <w:szCs w:val="24"/>
        </w:rPr>
        <w:t xml:space="preserve">  </w:t>
      </w:r>
    </w:p>
    <w:p w:rsidR="00210E33" w:rsidRPr="00BE2C3D" w:rsidRDefault="002F0594" w:rsidP="008B6009">
      <w:pPr>
        <w:tabs>
          <w:tab w:val="left" w:pos="1800"/>
        </w:tabs>
        <w:jc w:val="both"/>
        <w:rPr>
          <w:rFonts w:ascii="Arial" w:hAnsi="Arial" w:cs="Arial"/>
          <w:sz w:val="24"/>
          <w:szCs w:val="24"/>
        </w:rPr>
      </w:pPr>
      <w:r w:rsidRPr="002F0594">
        <w:rPr>
          <w:rFonts w:ascii="Arial" w:hAnsi="Arial" w:cs="Arial"/>
          <w:sz w:val="24"/>
        </w:rPr>
        <w:t xml:space="preserve">Previous research has shown that </w:t>
      </w:r>
      <w:r>
        <w:rPr>
          <w:rFonts w:ascii="Arial" w:hAnsi="Arial" w:cs="Arial"/>
          <w:sz w:val="24"/>
        </w:rPr>
        <w:t>45%</w:t>
      </w:r>
      <w:r w:rsidRPr="002F0594">
        <w:rPr>
          <w:rFonts w:ascii="Arial" w:hAnsi="Arial" w:cs="Arial"/>
          <w:sz w:val="24"/>
        </w:rPr>
        <w:t xml:space="preserve"> of medicines pres</w:t>
      </w:r>
      <w:r w:rsidR="00E53F1D">
        <w:rPr>
          <w:rFonts w:ascii="Arial" w:hAnsi="Arial" w:cs="Arial"/>
          <w:sz w:val="24"/>
        </w:rPr>
        <w:t>cribed on discharge are new [2</w:t>
      </w:r>
      <w:r w:rsidRPr="002F0594">
        <w:rPr>
          <w:rFonts w:ascii="Arial" w:hAnsi="Arial" w:cs="Arial"/>
          <w:sz w:val="24"/>
        </w:rPr>
        <w:t xml:space="preserve">]. </w:t>
      </w:r>
      <w:r w:rsidR="007D5CAB" w:rsidRPr="00BE2C3D">
        <w:rPr>
          <w:rFonts w:ascii="Arial" w:hAnsi="Arial" w:cs="Arial"/>
          <w:sz w:val="24"/>
          <w:szCs w:val="24"/>
          <w:lang w:eastAsia="en-GB"/>
        </w:rPr>
        <w:t>Nearly two thirds of patients have three or more medicines changed during their hospital stay</w:t>
      </w:r>
      <w:r w:rsidR="007D5CAB" w:rsidRPr="00BE2C3D">
        <w:rPr>
          <w:rFonts w:ascii="Arial" w:hAnsi="Arial" w:cs="Arial"/>
          <w:sz w:val="24"/>
          <w:szCs w:val="24"/>
          <w:vertAlign w:val="superscript"/>
          <w:lang w:eastAsia="en-GB"/>
        </w:rPr>
        <w:t xml:space="preserve">, </w:t>
      </w:r>
      <w:r w:rsidR="007D5CAB" w:rsidRPr="00BE2C3D">
        <w:rPr>
          <w:rFonts w:ascii="Arial" w:hAnsi="Arial" w:cs="Arial"/>
          <w:sz w:val="24"/>
          <w:szCs w:val="24"/>
          <w:lang w:eastAsia="en-GB"/>
        </w:rPr>
        <w:t>and the likelihood that an elderly medical patient will be discharged from hospital on the same medication they were admitte</w:t>
      </w:r>
      <w:r w:rsidR="00E53F1D">
        <w:rPr>
          <w:rFonts w:ascii="Arial" w:hAnsi="Arial" w:cs="Arial"/>
          <w:sz w:val="24"/>
          <w:szCs w:val="24"/>
          <w:lang w:eastAsia="en-GB"/>
        </w:rPr>
        <w:t>d on is less than 10% [3,4</w:t>
      </w:r>
      <w:r w:rsidR="007D5CAB" w:rsidRPr="00BE2C3D">
        <w:rPr>
          <w:rFonts w:ascii="Arial" w:hAnsi="Arial" w:cs="Arial"/>
          <w:sz w:val="24"/>
          <w:szCs w:val="24"/>
          <w:lang w:eastAsia="en-GB"/>
        </w:rPr>
        <w:t>].</w:t>
      </w:r>
      <w:r w:rsidR="007D5CAB" w:rsidRPr="00BE2C3D">
        <w:rPr>
          <w:rFonts w:ascii="Arial" w:hAnsi="Arial" w:cs="Arial"/>
          <w:sz w:val="24"/>
          <w:szCs w:val="24"/>
          <w:vertAlign w:val="superscript"/>
          <w:lang w:eastAsia="en-GB"/>
        </w:rPr>
        <w:t xml:space="preserve">   </w:t>
      </w:r>
      <w:r w:rsidR="00210E33" w:rsidRPr="00BE2C3D">
        <w:rPr>
          <w:rFonts w:ascii="Arial" w:hAnsi="Arial" w:cs="Arial"/>
          <w:sz w:val="24"/>
          <w:szCs w:val="24"/>
        </w:rPr>
        <w:t>It has been reported that between 30 and 70 per cent of patients have either an error or an unintentional change to their medicines</w:t>
      </w:r>
      <w:r w:rsidR="00E53F1D">
        <w:rPr>
          <w:rFonts w:ascii="Arial" w:hAnsi="Arial" w:cs="Arial"/>
          <w:sz w:val="24"/>
          <w:szCs w:val="24"/>
        </w:rPr>
        <w:t xml:space="preserve"> when their care is transferred [5].</w:t>
      </w:r>
    </w:p>
    <w:p w:rsidR="007D5CAB" w:rsidRPr="00BE2C3D" w:rsidRDefault="00610B9D" w:rsidP="008B6009">
      <w:pPr>
        <w:autoSpaceDE w:val="0"/>
        <w:autoSpaceDN w:val="0"/>
        <w:adjustRightInd w:val="0"/>
        <w:jc w:val="both"/>
        <w:rPr>
          <w:rFonts w:ascii="Arial" w:hAnsi="Arial" w:cs="Arial"/>
          <w:sz w:val="24"/>
          <w:szCs w:val="24"/>
        </w:rPr>
      </w:pPr>
      <w:r w:rsidRPr="00BE2C3D">
        <w:rPr>
          <w:rFonts w:ascii="Arial" w:hAnsi="Arial" w:cs="Arial"/>
          <w:sz w:val="24"/>
          <w:szCs w:val="24"/>
        </w:rPr>
        <w:t xml:space="preserve">Adverse drug events (ADEs) </w:t>
      </w:r>
      <w:r w:rsidRPr="00BE2C3D">
        <w:rPr>
          <w:rFonts w:ascii="Arial" w:hAnsi="Arial" w:cs="Arial"/>
          <w:sz w:val="24"/>
          <w:szCs w:val="24"/>
          <w:lang w:eastAsia="en-GB"/>
        </w:rPr>
        <w:t>are the most common type of adverse event reported following discharge from hospital,</w:t>
      </w:r>
      <w:r w:rsidRPr="00BE2C3D">
        <w:rPr>
          <w:rFonts w:ascii="Arial" w:hAnsi="Arial" w:cs="Arial"/>
          <w:sz w:val="24"/>
          <w:szCs w:val="24"/>
          <w:vertAlign w:val="superscript"/>
          <w:lang w:eastAsia="en-GB"/>
        </w:rPr>
        <w:t xml:space="preserve"> </w:t>
      </w:r>
      <w:r w:rsidRPr="00BE2C3D">
        <w:rPr>
          <w:rFonts w:ascii="Arial" w:hAnsi="Arial" w:cs="Arial"/>
          <w:sz w:val="24"/>
          <w:szCs w:val="24"/>
          <w:lang w:eastAsia="en-GB"/>
        </w:rPr>
        <w:t>occurring in 10-20%</w:t>
      </w:r>
      <w:r w:rsidR="00E53F1D">
        <w:rPr>
          <w:rFonts w:ascii="Arial" w:hAnsi="Arial" w:cs="Arial"/>
          <w:sz w:val="24"/>
          <w:szCs w:val="24"/>
          <w:lang w:eastAsia="en-GB"/>
        </w:rPr>
        <w:t xml:space="preserve"> of patients after discharge [</w:t>
      </w:r>
      <w:r w:rsidRPr="00BE2C3D">
        <w:rPr>
          <w:rFonts w:ascii="Arial" w:hAnsi="Arial" w:cs="Arial"/>
          <w:sz w:val="24"/>
          <w:szCs w:val="24"/>
          <w:lang w:eastAsia="en-GB"/>
        </w:rPr>
        <w:t>6</w:t>
      </w:r>
      <w:r w:rsidR="00E53F1D">
        <w:rPr>
          <w:rFonts w:ascii="Arial" w:hAnsi="Arial" w:cs="Arial"/>
          <w:sz w:val="24"/>
          <w:szCs w:val="24"/>
          <w:lang w:eastAsia="en-GB"/>
        </w:rPr>
        <w:t>,7</w:t>
      </w:r>
      <w:r w:rsidRPr="00BE2C3D">
        <w:rPr>
          <w:rFonts w:ascii="Arial" w:hAnsi="Arial" w:cs="Arial"/>
          <w:sz w:val="24"/>
          <w:szCs w:val="24"/>
          <w:lang w:eastAsia="en-GB"/>
        </w:rPr>
        <w:t xml:space="preserve">].  </w:t>
      </w:r>
      <w:r w:rsidR="007D5CAB" w:rsidRPr="00BE2C3D">
        <w:rPr>
          <w:rFonts w:ascii="Arial" w:hAnsi="Arial" w:cs="Arial"/>
          <w:sz w:val="24"/>
          <w:szCs w:val="24"/>
          <w:lang w:eastAsia="en-GB"/>
        </w:rPr>
        <w:t>Almost all ADEs occurring post discharge are caused by new or altered medication rather than those</w:t>
      </w:r>
      <w:r w:rsidR="00E53F1D">
        <w:rPr>
          <w:rFonts w:ascii="Arial" w:hAnsi="Arial" w:cs="Arial"/>
          <w:sz w:val="24"/>
          <w:szCs w:val="24"/>
          <w:lang w:eastAsia="en-GB"/>
        </w:rPr>
        <w:t xml:space="preserve"> unchanged from pre-admission [6</w:t>
      </w:r>
      <w:r w:rsidR="007D5CAB" w:rsidRPr="00BE2C3D">
        <w:rPr>
          <w:rFonts w:ascii="Arial" w:hAnsi="Arial" w:cs="Arial"/>
          <w:sz w:val="24"/>
          <w:szCs w:val="24"/>
          <w:lang w:eastAsia="en-GB"/>
        </w:rPr>
        <w:t>].  M</w:t>
      </w:r>
      <w:r w:rsidR="007D5CAB" w:rsidRPr="00BE2C3D">
        <w:rPr>
          <w:rFonts w:ascii="Arial" w:hAnsi="Arial" w:cs="Arial"/>
          <w:sz w:val="24"/>
          <w:szCs w:val="24"/>
        </w:rPr>
        <w:t>ore than half of these ADEs may be preventable or ameliorable (ie, duration or</w:t>
      </w:r>
      <w:r w:rsidR="00E53F1D">
        <w:rPr>
          <w:rFonts w:ascii="Arial" w:hAnsi="Arial" w:cs="Arial"/>
          <w:sz w:val="24"/>
          <w:szCs w:val="24"/>
        </w:rPr>
        <w:t xml:space="preserve"> severity could be decreased) [6</w:t>
      </w:r>
      <w:r w:rsidR="007D5CAB" w:rsidRPr="00BE2C3D">
        <w:rPr>
          <w:rFonts w:ascii="Arial" w:hAnsi="Arial" w:cs="Arial"/>
          <w:sz w:val="24"/>
          <w:szCs w:val="24"/>
        </w:rPr>
        <w:t>].</w:t>
      </w:r>
    </w:p>
    <w:p w:rsidR="007D5CAB" w:rsidRPr="00BE2C3D" w:rsidRDefault="007D5CAB" w:rsidP="008B6009">
      <w:pPr>
        <w:autoSpaceDE w:val="0"/>
        <w:autoSpaceDN w:val="0"/>
        <w:adjustRightInd w:val="0"/>
        <w:spacing w:after="0"/>
        <w:jc w:val="both"/>
        <w:rPr>
          <w:rFonts w:ascii="Arial" w:hAnsi="Arial" w:cs="Arial"/>
          <w:sz w:val="24"/>
          <w:szCs w:val="24"/>
          <w:lang w:eastAsia="en-GB"/>
        </w:rPr>
      </w:pPr>
      <w:r w:rsidRPr="00BE2C3D">
        <w:rPr>
          <w:rFonts w:ascii="Arial" w:hAnsi="Arial" w:cs="Arial"/>
          <w:sz w:val="24"/>
          <w:szCs w:val="24"/>
          <w:lang w:eastAsia="en-GB"/>
        </w:rPr>
        <w:t>Reasons identified for post-discharge ADEs include:</w:t>
      </w:r>
    </w:p>
    <w:p w:rsidR="007D5CAB" w:rsidRPr="00BE2C3D" w:rsidRDefault="007D5CAB" w:rsidP="008B6009">
      <w:pPr>
        <w:pStyle w:val="ListParagraph"/>
        <w:numPr>
          <w:ilvl w:val="0"/>
          <w:numId w:val="1"/>
        </w:numPr>
        <w:autoSpaceDE w:val="0"/>
        <w:autoSpaceDN w:val="0"/>
        <w:adjustRightInd w:val="0"/>
        <w:spacing w:line="276" w:lineRule="auto"/>
        <w:jc w:val="both"/>
        <w:rPr>
          <w:rFonts w:ascii="Arial" w:hAnsi="Arial" w:cs="Arial"/>
          <w:lang w:eastAsia="en-GB"/>
        </w:rPr>
      </w:pPr>
      <w:r w:rsidRPr="00BE2C3D">
        <w:rPr>
          <w:rFonts w:ascii="Arial" w:hAnsi="Arial" w:cs="Arial"/>
          <w:lang w:eastAsia="en-GB"/>
        </w:rPr>
        <w:t xml:space="preserve">Poor communication during transitions in care, both between healthcare professionals and patients and between professionals in secondary and primary care </w:t>
      </w:r>
    </w:p>
    <w:p w:rsidR="007D5CAB" w:rsidRPr="00BE2C3D" w:rsidRDefault="007D5CAB" w:rsidP="008B6009">
      <w:pPr>
        <w:pStyle w:val="ListParagraph"/>
        <w:numPr>
          <w:ilvl w:val="0"/>
          <w:numId w:val="1"/>
        </w:numPr>
        <w:autoSpaceDE w:val="0"/>
        <w:autoSpaceDN w:val="0"/>
        <w:adjustRightInd w:val="0"/>
        <w:spacing w:line="276" w:lineRule="auto"/>
        <w:jc w:val="both"/>
        <w:rPr>
          <w:rFonts w:ascii="Arial" w:hAnsi="Arial" w:cs="Arial"/>
          <w:lang w:eastAsia="en-GB"/>
        </w:rPr>
      </w:pPr>
      <w:r w:rsidRPr="00BE2C3D">
        <w:rPr>
          <w:rFonts w:ascii="Arial" w:hAnsi="Arial" w:cs="Arial"/>
          <w:lang w:eastAsia="en-GB"/>
        </w:rPr>
        <w:t>Lack of monitoring and review of treatment</w:t>
      </w:r>
    </w:p>
    <w:p w:rsidR="007D5CAB" w:rsidRPr="00BE2C3D" w:rsidRDefault="007D5CAB" w:rsidP="008B6009">
      <w:pPr>
        <w:pStyle w:val="ListParagraph"/>
        <w:numPr>
          <w:ilvl w:val="0"/>
          <w:numId w:val="1"/>
        </w:numPr>
        <w:autoSpaceDE w:val="0"/>
        <w:autoSpaceDN w:val="0"/>
        <w:adjustRightInd w:val="0"/>
        <w:spacing w:line="276" w:lineRule="auto"/>
        <w:jc w:val="both"/>
        <w:rPr>
          <w:rFonts w:ascii="Arial" w:hAnsi="Arial" w:cs="Arial"/>
          <w:lang w:eastAsia="en-GB"/>
        </w:rPr>
      </w:pPr>
      <w:r w:rsidRPr="00BE2C3D">
        <w:rPr>
          <w:rFonts w:ascii="Arial" w:hAnsi="Arial" w:cs="Arial"/>
          <w:lang w:eastAsia="en-GB"/>
        </w:rPr>
        <w:t xml:space="preserve">Patients not taking their medicines </w:t>
      </w:r>
      <w:r w:rsidR="00E53F1D">
        <w:rPr>
          <w:rFonts w:ascii="Arial" w:hAnsi="Arial" w:cs="Arial"/>
          <w:lang w:eastAsia="en-GB"/>
        </w:rPr>
        <w:t>as agreed (non-adherence) [6-8</w:t>
      </w:r>
      <w:r w:rsidRPr="00BE2C3D">
        <w:rPr>
          <w:rFonts w:ascii="Arial" w:hAnsi="Arial" w:cs="Arial"/>
          <w:lang w:eastAsia="en-GB"/>
        </w:rPr>
        <w:t xml:space="preserve">]. </w:t>
      </w:r>
      <w:r w:rsidRPr="00BE2C3D">
        <w:rPr>
          <w:rFonts w:ascii="Arial" w:eastAsiaTheme="minorHAnsi" w:hAnsi="Arial" w:cs="Arial"/>
        </w:rPr>
        <w:t xml:space="preserve"> </w:t>
      </w:r>
    </w:p>
    <w:p w:rsidR="009C4253" w:rsidRPr="00BE2C3D" w:rsidRDefault="009C4253" w:rsidP="008B6009">
      <w:pPr>
        <w:autoSpaceDE w:val="0"/>
        <w:autoSpaceDN w:val="0"/>
        <w:adjustRightInd w:val="0"/>
        <w:spacing w:after="0"/>
        <w:jc w:val="both"/>
        <w:rPr>
          <w:rFonts w:ascii="Arial" w:hAnsi="Arial" w:cs="Arial"/>
          <w:sz w:val="24"/>
          <w:szCs w:val="24"/>
        </w:rPr>
      </w:pPr>
    </w:p>
    <w:p w:rsidR="002A6046" w:rsidRPr="00BE2C3D" w:rsidRDefault="002A6046" w:rsidP="008B6009">
      <w:pPr>
        <w:pStyle w:val="Default"/>
        <w:spacing w:line="276" w:lineRule="auto"/>
        <w:jc w:val="both"/>
      </w:pPr>
      <w:r w:rsidRPr="00BE2C3D">
        <w:rPr>
          <w:lang w:eastAsia="en-GB"/>
        </w:rPr>
        <w:t>Up to half of post discharge ADEs may result in a visit to the family doctor or hospital emergency department,</w:t>
      </w:r>
      <w:r w:rsidR="00E53F1D">
        <w:rPr>
          <w:lang w:eastAsia="en-GB"/>
        </w:rPr>
        <w:t xml:space="preserve"> or a readmission to hospital [6</w:t>
      </w:r>
      <w:r w:rsidRPr="00BE2C3D">
        <w:rPr>
          <w:lang w:eastAsia="en-GB"/>
        </w:rPr>
        <w:t xml:space="preserve">].  </w:t>
      </w:r>
      <w:r w:rsidR="009C4253" w:rsidRPr="00BE2C3D">
        <w:t>In 2012-13, 19% of the 5.3 million emergency admissions to NHS</w:t>
      </w:r>
      <w:r w:rsidR="00E53F1D">
        <w:t xml:space="preserve"> hospitals were readmissions [9</w:t>
      </w:r>
      <w:r w:rsidR="009C4253" w:rsidRPr="00BE2C3D">
        <w:t>].  It has been estimated that each readmission co</w:t>
      </w:r>
      <w:r w:rsidR="00E53F1D">
        <w:t>sts the NHS £2114 on average [10</w:t>
      </w:r>
      <w:r w:rsidR="009C4253" w:rsidRPr="00BE2C3D">
        <w:t>].  Therefore, emergency readmissions to hospital cost the NHS over £2.1billion each year.</w:t>
      </w:r>
      <w:r w:rsidRPr="00BE2C3D">
        <w:t xml:space="preserve">  </w:t>
      </w:r>
    </w:p>
    <w:p w:rsidR="002A6046" w:rsidRPr="00BE2C3D" w:rsidRDefault="002A6046" w:rsidP="008B6009">
      <w:pPr>
        <w:pStyle w:val="Default"/>
        <w:spacing w:line="276" w:lineRule="auto"/>
        <w:jc w:val="both"/>
      </w:pPr>
    </w:p>
    <w:p w:rsidR="002A6046" w:rsidRPr="00BE2C3D" w:rsidRDefault="002A6046" w:rsidP="008B6009">
      <w:pPr>
        <w:pStyle w:val="Default"/>
        <w:spacing w:line="276" w:lineRule="auto"/>
        <w:jc w:val="both"/>
      </w:pPr>
      <w:r w:rsidRPr="00BE2C3D">
        <w:t>Approximately one-fifth of re-admissions are related to medication and up to half of</w:t>
      </w:r>
      <w:r w:rsidR="00E53F1D">
        <w:t xml:space="preserve"> these may be preventable [11,12</w:t>
      </w:r>
      <w:r w:rsidRPr="00BE2C3D">
        <w:t>].  Therefore investment in improving medicines related transfer of care may represent a rational ‘first step’ in reducing the risk of readmission, with potential annual cost savings of anywhere up to £210,000,000 for the NHS.</w:t>
      </w:r>
    </w:p>
    <w:p w:rsidR="00157F83" w:rsidRPr="00BE2C3D" w:rsidRDefault="00157F83" w:rsidP="008B6009">
      <w:pPr>
        <w:pStyle w:val="Default"/>
        <w:spacing w:line="276" w:lineRule="auto"/>
        <w:jc w:val="both"/>
      </w:pPr>
    </w:p>
    <w:p w:rsidR="007D5CAB" w:rsidRPr="00BE2C3D" w:rsidRDefault="004173F3" w:rsidP="008B6009">
      <w:pPr>
        <w:jc w:val="both"/>
        <w:rPr>
          <w:rFonts w:ascii="Arial" w:hAnsi="Arial" w:cs="Arial"/>
          <w:sz w:val="24"/>
          <w:szCs w:val="24"/>
        </w:rPr>
      </w:pPr>
      <w:r w:rsidRPr="00BE2C3D">
        <w:rPr>
          <w:rFonts w:ascii="Arial" w:hAnsi="Arial" w:cs="Arial"/>
          <w:sz w:val="24"/>
          <w:szCs w:val="24"/>
        </w:rPr>
        <w:t>In 2009</w:t>
      </w:r>
      <w:r w:rsidR="007D5CAB" w:rsidRPr="00BE2C3D">
        <w:rPr>
          <w:rFonts w:ascii="Arial" w:hAnsi="Arial" w:cs="Arial"/>
          <w:sz w:val="24"/>
          <w:szCs w:val="24"/>
        </w:rPr>
        <w:t>, t</w:t>
      </w:r>
      <w:r w:rsidR="00157F83" w:rsidRPr="00BE2C3D">
        <w:rPr>
          <w:rFonts w:ascii="Arial" w:hAnsi="Arial" w:cs="Arial"/>
          <w:sz w:val="24"/>
          <w:szCs w:val="24"/>
        </w:rPr>
        <w:t>he</w:t>
      </w:r>
      <w:r w:rsidR="007D5CAB" w:rsidRPr="00BE2C3D">
        <w:rPr>
          <w:rFonts w:ascii="Arial" w:hAnsi="Arial" w:cs="Arial"/>
          <w:sz w:val="24"/>
          <w:szCs w:val="24"/>
        </w:rPr>
        <w:t xml:space="preserve"> </w:t>
      </w:r>
      <w:r w:rsidR="007D5CAB" w:rsidRPr="00BE2C3D">
        <w:rPr>
          <w:rFonts w:ascii="Arial" w:hAnsi="Arial" w:cs="Arial"/>
          <w:sz w:val="24"/>
          <w:szCs w:val="24"/>
          <w:lang w:eastAsia="en-GB"/>
        </w:rPr>
        <w:t>Care Quality Commission</w:t>
      </w:r>
      <w:r w:rsidR="007D5CAB" w:rsidRPr="00BE2C3D">
        <w:rPr>
          <w:rFonts w:ascii="Arial" w:hAnsi="Arial" w:cs="Arial"/>
          <w:sz w:val="24"/>
          <w:szCs w:val="24"/>
        </w:rPr>
        <w:t xml:space="preserve"> (CQC) report </w:t>
      </w:r>
      <w:r w:rsidR="007D5CAB" w:rsidRPr="00BE2C3D">
        <w:rPr>
          <w:rFonts w:ascii="Arial" w:hAnsi="Arial" w:cs="Arial"/>
          <w:i/>
          <w:sz w:val="24"/>
          <w:szCs w:val="24"/>
        </w:rPr>
        <w:t>Managing patients’ medicines after discharge from hospital</w:t>
      </w:r>
      <w:r w:rsidR="007D5CAB" w:rsidRPr="00BE2C3D">
        <w:rPr>
          <w:rFonts w:ascii="Arial" w:hAnsi="Arial" w:cs="Arial"/>
          <w:sz w:val="24"/>
          <w:szCs w:val="24"/>
        </w:rPr>
        <w:t xml:space="preserve"> found that information shared between GPs and hospitals when a patient moved between services was often patchy, incomplete and no</w:t>
      </w:r>
      <w:r w:rsidR="00E53F1D">
        <w:rPr>
          <w:rFonts w:ascii="Arial" w:hAnsi="Arial" w:cs="Arial"/>
          <w:sz w:val="24"/>
          <w:szCs w:val="24"/>
        </w:rPr>
        <w:t>t transferred quickly enough [13</w:t>
      </w:r>
      <w:r w:rsidR="00610B9D">
        <w:rPr>
          <w:rFonts w:ascii="Arial" w:hAnsi="Arial" w:cs="Arial"/>
          <w:sz w:val="24"/>
          <w:szCs w:val="24"/>
        </w:rPr>
        <w:t xml:space="preserve">].  </w:t>
      </w:r>
      <w:r w:rsidR="00157F83" w:rsidRPr="00BE2C3D">
        <w:rPr>
          <w:rFonts w:ascii="Arial" w:hAnsi="Arial" w:cs="Arial"/>
          <w:sz w:val="24"/>
          <w:szCs w:val="24"/>
        </w:rPr>
        <w:t>Recommendations included a review of the number and deployment of pharmacy staff providing support to GP practices to provide a greater focus on post-</w:t>
      </w:r>
      <w:r w:rsidR="00157F83" w:rsidRPr="00BE2C3D">
        <w:rPr>
          <w:rFonts w:ascii="Arial" w:hAnsi="Arial" w:cs="Arial"/>
          <w:sz w:val="24"/>
          <w:szCs w:val="24"/>
        </w:rPr>
        <w:lastRenderedPageBreak/>
        <w:t xml:space="preserve">discharge medication reviews and adherence support, particularly for complex or older patients.  </w:t>
      </w:r>
      <w:r w:rsidR="007D5CAB" w:rsidRPr="00BE2C3D">
        <w:rPr>
          <w:rFonts w:ascii="Arial" w:hAnsi="Arial" w:cs="Arial"/>
          <w:sz w:val="24"/>
          <w:szCs w:val="24"/>
        </w:rPr>
        <w:t xml:space="preserve">Both acute trusts and primary healthcare professionals were urged to ensure that they communicated more effectively with patients about their medicines, both at the point of discharge and after return to the community.  </w:t>
      </w:r>
    </w:p>
    <w:p w:rsidR="00157F83" w:rsidRDefault="007D5CAB" w:rsidP="008B6009">
      <w:pPr>
        <w:jc w:val="both"/>
        <w:rPr>
          <w:rFonts w:ascii="Arial" w:hAnsi="Arial" w:cs="Arial"/>
          <w:sz w:val="24"/>
          <w:szCs w:val="24"/>
        </w:rPr>
      </w:pPr>
      <w:r w:rsidRPr="00BE2C3D">
        <w:rPr>
          <w:rFonts w:ascii="Arial" w:hAnsi="Arial" w:cs="Arial"/>
          <w:sz w:val="24"/>
          <w:szCs w:val="24"/>
        </w:rPr>
        <w:t xml:space="preserve">The need to improve discharge information and patient education around medicines was highlighted again by </w:t>
      </w:r>
      <w:r w:rsidRPr="00BE2C3D">
        <w:rPr>
          <w:rFonts w:ascii="Arial" w:hAnsi="Arial" w:cs="Arial"/>
          <w:sz w:val="24"/>
          <w:szCs w:val="24"/>
          <w:lang w:eastAsia="en-GB"/>
        </w:rPr>
        <w:t>a Department of Health</w:t>
      </w:r>
      <w:r w:rsidR="00E53F1D">
        <w:rPr>
          <w:rFonts w:ascii="Arial" w:hAnsi="Arial" w:cs="Arial"/>
          <w:sz w:val="24"/>
          <w:szCs w:val="24"/>
          <w:lang w:eastAsia="en-GB"/>
        </w:rPr>
        <w:t xml:space="preserve"> (DoH)</w:t>
      </w:r>
      <w:r w:rsidRPr="00BE2C3D">
        <w:rPr>
          <w:rFonts w:ascii="Arial" w:hAnsi="Arial" w:cs="Arial"/>
          <w:sz w:val="24"/>
          <w:szCs w:val="24"/>
          <w:lang w:eastAsia="en-GB"/>
        </w:rPr>
        <w:t xml:space="preserve"> action plan to improve the use of medicines and </w:t>
      </w:r>
      <w:r w:rsidRPr="00BE2C3D">
        <w:rPr>
          <w:rFonts w:ascii="Arial" w:hAnsi="Arial" w:cs="Arial"/>
          <w:sz w:val="24"/>
          <w:szCs w:val="24"/>
        </w:rPr>
        <w:t>the Royal Pharmaceutical Society (RPS) guidelines on transfer of care and</w:t>
      </w:r>
      <w:r w:rsidR="00E53F1D">
        <w:rPr>
          <w:rFonts w:ascii="Arial" w:hAnsi="Arial" w:cs="Arial"/>
          <w:sz w:val="24"/>
          <w:szCs w:val="24"/>
        </w:rPr>
        <w:t xml:space="preserve"> medicines optimisation [14-16</w:t>
      </w:r>
      <w:r w:rsidRPr="00BE2C3D">
        <w:rPr>
          <w:rFonts w:ascii="Arial" w:hAnsi="Arial" w:cs="Arial"/>
          <w:sz w:val="24"/>
          <w:szCs w:val="24"/>
        </w:rPr>
        <w:t>].  All of these papers make reference to the importance of post discharge medication reviews, and advise hospital pharmacists to collaborate more with pharmacists</w:t>
      </w:r>
      <w:r w:rsidR="004173F3" w:rsidRPr="00BE2C3D">
        <w:rPr>
          <w:rFonts w:ascii="Arial" w:hAnsi="Arial" w:cs="Arial"/>
          <w:sz w:val="24"/>
          <w:szCs w:val="24"/>
        </w:rPr>
        <w:t xml:space="preserve"> in primary care</w:t>
      </w:r>
      <w:r w:rsidRPr="00BE2C3D">
        <w:rPr>
          <w:rFonts w:ascii="Arial" w:hAnsi="Arial" w:cs="Arial"/>
          <w:sz w:val="24"/>
          <w:szCs w:val="24"/>
        </w:rPr>
        <w:t>.</w:t>
      </w:r>
      <w:r w:rsidR="00157F83" w:rsidRPr="00BE2C3D">
        <w:rPr>
          <w:rFonts w:ascii="Arial" w:hAnsi="Arial" w:cs="Arial"/>
          <w:sz w:val="24"/>
          <w:szCs w:val="24"/>
        </w:rPr>
        <w:t xml:space="preserve">  The NHS tariff of payment to secondary care providers</w:t>
      </w:r>
      <w:r w:rsidR="00210E33" w:rsidRPr="00BE2C3D">
        <w:rPr>
          <w:rFonts w:ascii="Arial" w:hAnsi="Arial" w:cs="Arial"/>
          <w:sz w:val="24"/>
          <w:szCs w:val="24"/>
        </w:rPr>
        <w:t xml:space="preserve"> also</w:t>
      </w:r>
      <w:r w:rsidR="00157F83" w:rsidRPr="00BE2C3D">
        <w:rPr>
          <w:rFonts w:ascii="Arial" w:hAnsi="Arial" w:cs="Arial"/>
          <w:sz w:val="24"/>
          <w:szCs w:val="24"/>
        </w:rPr>
        <w:t xml:space="preserve"> specifically recommends more collaborative working and better coordination of clinical intervention with communi</w:t>
      </w:r>
      <w:r w:rsidR="00E53F1D">
        <w:rPr>
          <w:rFonts w:ascii="Arial" w:hAnsi="Arial" w:cs="Arial"/>
          <w:sz w:val="24"/>
          <w:szCs w:val="24"/>
        </w:rPr>
        <w:t>ty and social care providers [17</w:t>
      </w:r>
      <w:r w:rsidR="00157F83" w:rsidRPr="00BE2C3D">
        <w:rPr>
          <w:rFonts w:ascii="Arial" w:hAnsi="Arial" w:cs="Arial"/>
          <w:sz w:val="24"/>
          <w:szCs w:val="24"/>
        </w:rPr>
        <w:t xml:space="preserve">].  </w:t>
      </w:r>
    </w:p>
    <w:p w:rsidR="00A65E34" w:rsidRDefault="007D5CAB" w:rsidP="008B6009">
      <w:pPr>
        <w:autoSpaceDE w:val="0"/>
        <w:autoSpaceDN w:val="0"/>
        <w:adjustRightInd w:val="0"/>
        <w:jc w:val="both"/>
        <w:rPr>
          <w:rFonts w:ascii="Arial" w:hAnsi="Arial" w:cs="Arial"/>
          <w:sz w:val="24"/>
          <w:szCs w:val="24"/>
        </w:rPr>
      </w:pPr>
      <w:r w:rsidRPr="00BE2C3D">
        <w:rPr>
          <w:rFonts w:ascii="Arial" w:hAnsi="Arial" w:cs="Arial"/>
          <w:sz w:val="24"/>
          <w:szCs w:val="24"/>
        </w:rPr>
        <w:t>It has been suggested</w:t>
      </w:r>
      <w:r w:rsidR="007329C3" w:rsidRPr="00BE2C3D">
        <w:rPr>
          <w:rFonts w:ascii="Arial" w:hAnsi="Arial" w:cs="Arial"/>
          <w:sz w:val="24"/>
          <w:szCs w:val="24"/>
        </w:rPr>
        <w:t xml:space="preserve"> </w:t>
      </w:r>
      <w:r w:rsidRPr="00BE2C3D">
        <w:rPr>
          <w:rFonts w:ascii="Arial" w:hAnsi="Arial" w:cs="Arial"/>
          <w:sz w:val="24"/>
          <w:szCs w:val="24"/>
        </w:rPr>
        <w:t>that the brief period prior to discharge is not an ideal time to convey new and complex information to older patients, as pain, anxiety, sleep deprivation, or delirium may limit receptivity to ne</w:t>
      </w:r>
      <w:r w:rsidR="00E53F1D">
        <w:rPr>
          <w:rFonts w:ascii="Arial" w:hAnsi="Arial" w:cs="Arial"/>
          <w:sz w:val="24"/>
          <w:szCs w:val="24"/>
        </w:rPr>
        <w:t>w learning [18</w:t>
      </w:r>
      <w:r w:rsidRPr="00BE2C3D">
        <w:rPr>
          <w:rFonts w:ascii="Arial" w:hAnsi="Arial" w:cs="Arial"/>
          <w:sz w:val="24"/>
          <w:szCs w:val="24"/>
        </w:rPr>
        <w:t>].   Furthermore, at hospital discharge patients may be overwhelmed with information, at a time when their primary concern is to get</w:t>
      </w:r>
      <w:r w:rsidR="00E53F1D">
        <w:rPr>
          <w:rFonts w:ascii="Arial" w:hAnsi="Arial" w:cs="Arial"/>
          <w:sz w:val="24"/>
          <w:szCs w:val="24"/>
        </w:rPr>
        <w:t xml:space="preserve"> home as quickly as possible [19</w:t>
      </w:r>
      <w:r w:rsidRPr="00BE2C3D">
        <w:rPr>
          <w:rFonts w:ascii="Arial" w:hAnsi="Arial" w:cs="Arial"/>
          <w:sz w:val="24"/>
          <w:szCs w:val="24"/>
        </w:rPr>
        <w:t xml:space="preserve">]. </w:t>
      </w:r>
      <w:r w:rsidR="00210E33" w:rsidRPr="00BE2C3D">
        <w:rPr>
          <w:rFonts w:ascii="Arial" w:hAnsi="Arial" w:cs="Arial"/>
          <w:sz w:val="24"/>
          <w:szCs w:val="24"/>
        </w:rPr>
        <w:t xml:space="preserve"> </w:t>
      </w:r>
      <w:r w:rsidRPr="00BE2C3D">
        <w:rPr>
          <w:rFonts w:ascii="Arial" w:hAnsi="Arial" w:cs="Arial"/>
          <w:sz w:val="24"/>
          <w:szCs w:val="24"/>
        </w:rPr>
        <w:t>However, once at home, patients (and their family members) are abruptly expected to assume a significant self-management role in the recovery of their condition and in the management of their medications, for wh</w:t>
      </w:r>
      <w:r w:rsidR="00E53F1D">
        <w:rPr>
          <w:rFonts w:ascii="Arial" w:hAnsi="Arial" w:cs="Arial"/>
          <w:sz w:val="24"/>
          <w:szCs w:val="24"/>
        </w:rPr>
        <w:t>ich they may feel unprepared [18</w:t>
      </w:r>
      <w:r w:rsidRPr="00BE2C3D">
        <w:rPr>
          <w:rFonts w:ascii="Arial" w:hAnsi="Arial" w:cs="Arial"/>
          <w:sz w:val="24"/>
          <w:szCs w:val="24"/>
        </w:rPr>
        <w:t xml:space="preserve">].  </w:t>
      </w:r>
      <w:r w:rsidR="00306B02">
        <w:rPr>
          <w:rFonts w:ascii="Arial" w:hAnsi="Arial" w:cs="Arial"/>
          <w:sz w:val="24"/>
          <w:szCs w:val="24"/>
        </w:rPr>
        <w:t xml:space="preserve">It has </w:t>
      </w:r>
      <w:r w:rsidR="00A65E34">
        <w:rPr>
          <w:rFonts w:ascii="Arial" w:hAnsi="Arial" w:cs="Arial"/>
          <w:sz w:val="24"/>
          <w:szCs w:val="24"/>
        </w:rPr>
        <w:t>recently</w:t>
      </w:r>
      <w:r w:rsidR="00306B02">
        <w:rPr>
          <w:rFonts w:ascii="Arial" w:hAnsi="Arial" w:cs="Arial"/>
          <w:sz w:val="24"/>
          <w:szCs w:val="24"/>
        </w:rPr>
        <w:t xml:space="preserve"> been shown that post-discharge domiciliary medication review by a consultant pharmacist can improve quality of care and patient safety for</w:t>
      </w:r>
      <w:r w:rsidR="00E53F1D">
        <w:rPr>
          <w:rFonts w:ascii="Arial" w:hAnsi="Arial" w:cs="Arial"/>
          <w:sz w:val="24"/>
          <w:szCs w:val="24"/>
        </w:rPr>
        <w:t xml:space="preserve"> high risk older people [20</w:t>
      </w:r>
      <w:r w:rsidR="00306B02">
        <w:rPr>
          <w:rFonts w:ascii="Arial" w:hAnsi="Arial" w:cs="Arial"/>
          <w:sz w:val="24"/>
          <w:szCs w:val="24"/>
        </w:rPr>
        <w:t>].</w:t>
      </w:r>
      <w:r w:rsidR="00A65E34">
        <w:rPr>
          <w:rFonts w:ascii="Arial" w:hAnsi="Arial" w:cs="Arial"/>
          <w:sz w:val="24"/>
          <w:szCs w:val="24"/>
        </w:rPr>
        <w:t xml:space="preserve">  </w:t>
      </w:r>
    </w:p>
    <w:p w:rsidR="00A65E34" w:rsidRPr="00A65E34" w:rsidRDefault="00630174" w:rsidP="008B6009">
      <w:pPr>
        <w:jc w:val="both"/>
        <w:rPr>
          <w:rFonts w:ascii="Arial" w:hAnsi="Arial" w:cs="Arial"/>
          <w:b/>
          <w:sz w:val="24"/>
          <w:szCs w:val="24"/>
        </w:rPr>
      </w:pPr>
      <w:r>
        <w:rPr>
          <w:rFonts w:ascii="Arial" w:hAnsi="Arial" w:cs="Arial"/>
          <w:b/>
          <w:sz w:val="24"/>
          <w:szCs w:val="24"/>
        </w:rPr>
        <w:t>Project Background</w:t>
      </w:r>
    </w:p>
    <w:p w:rsidR="00D21F06" w:rsidRPr="00D21F06" w:rsidRDefault="00126E72" w:rsidP="008B6009">
      <w:pPr>
        <w:tabs>
          <w:tab w:val="left" w:pos="1800"/>
        </w:tabs>
        <w:jc w:val="both"/>
        <w:rPr>
          <w:rFonts w:ascii="Arial" w:hAnsi="Arial" w:cs="Arial"/>
          <w:sz w:val="24"/>
          <w:szCs w:val="24"/>
        </w:rPr>
      </w:pPr>
      <w:r w:rsidRPr="00D21F06">
        <w:rPr>
          <w:rFonts w:ascii="Arial" w:hAnsi="Arial" w:cs="Arial"/>
          <w:sz w:val="24"/>
          <w:szCs w:val="24"/>
        </w:rPr>
        <w:t>South Sefton Clinical Commissioning Group (</w:t>
      </w:r>
      <w:r w:rsidR="00D61856">
        <w:rPr>
          <w:rFonts w:ascii="Arial" w:hAnsi="Arial" w:cs="Arial"/>
          <w:sz w:val="24"/>
          <w:szCs w:val="24"/>
        </w:rPr>
        <w:t>SS</w:t>
      </w:r>
      <w:r w:rsidRPr="00D21F06">
        <w:rPr>
          <w:rFonts w:ascii="Arial" w:hAnsi="Arial" w:cs="Arial"/>
          <w:sz w:val="24"/>
          <w:szCs w:val="24"/>
        </w:rPr>
        <w:t>CCG) medicines management team</w:t>
      </w:r>
      <w:r w:rsidR="00D61856">
        <w:rPr>
          <w:rFonts w:ascii="Arial" w:hAnsi="Arial" w:cs="Arial"/>
          <w:sz w:val="24"/>
          <w:szCs w:val="24"/>
        </w:rPr>
        <w:t xml:space="preserve"> (MMT)</w:t>
      </w:r>
      <w:r w:rsidRPr="00D21F06">
        <w:rPr>
          <w:rFonts w:ascii="Arial" w:hAnsi="Arial" w:cs="Arial"/>
          <w:sz w:val="24"/>
          <w:szCs w:val="24"/>
        </w:rPr>
        <w:t xml:space="preserve"> has been part of the CCG’s multidisciplinary</w:t>
      </w:r>
      <w:r w:rsidR="00A51DA7" w:rsidRPr="00D21F06">
        <w:rPr>
          <w:rFonts w:ascii="Arial" w:hAnsi="Arial" w:cs="Arial"/>
          <w:sz w:val="24"/>
          <w:szCs w:val="24"/>
        </w:rPr>
        <w:t xml:space="preserve"> Virtual Ward</w:t>
      </w:r>
      <w:r w:rsidR="00D21F06" w:rsidRPr="00D21F06">
        <w:rPr>
          <w:rFonts w:ascii="Arial" w:hAnsi="Arial" w:cs="Arial"/>
          <w:sz w:val="24"/>
          <w:szCs w:val="24"/>
        </w:rPr>
        <w:t xml:space="preserve"> (VW)</w:t>
      </w:r>
      <w:r w:rsidR="00A51DA7" w:rsidRPr="00D21F06">
        <w:rPr>
          <w:rFonts w:ascii="Arial" w:hAnsi="Arial" w:cs="Arial"/>
          <w:sz w:val="24"/>
          <w:szCs w:val="24"/>
        </w:rPr>
        <w:t xml:space="preserve"> </w:t>
      </w:r>
      <w:r w:rsidRPr="00D21F06">
        <w:rPr>
          <w:rFonts w:ascii="Arial" w:hAnsi="Arial" w:cs="Arial"/>
          <w:sz w:val="24"/>
          <w:szCs w:val="24"/>
        </w:rPr>
        <w:t>since 2014.</w:t>
      </w:r>
      <w:r w:rsidR="005755B8" w:rsidRPr="00D21F06">
        <w:rPr>
          <w:rFonts w:ascii="Arial" w:hAnsi="Arial" w:cs="Arial"/>
          <w:sz w:val="24"/>
          <w:szCs w:val="24"/>
        </w:rPr>
        <w:t xml:space="preserve">  </w:t>
      </w:r>
      <w:r w:rsidR="00D21F06" w:rsidRPr="00D21F06">
        <w:rPr>
          <w:rFonts w:ascii="Arial" w:hAnsi="Arial" w:cs="Arial"/>
          <w:sz w:val="24"/>
          <w:szCs w:val="24"/>
        </w:rPr>
        <w:t>Each locality within the CCG has an assigned pharmacist and</w:t>
      </w:r>
      <w:r w:rsidR="00D21F06">
        <w:rPr>
          <w:rFonts w:ascii="Arial" w:hAnsi="Arial" w:cs="Arial"/>
          <w:sz w:val="24"/>
          <w:szCs w:val="24"/>
        </w:rPr>
        <w:t xml:space="preserve"> pharmacy</w:t>
      </w:r>
      <w:r w:rsidR="00D21F06" w:rsidRPr="00D21F06">
        <w:rPr>
          <w:rFonts w:ascii="Arial" w:hAnsi="Arial" w:cs="Arial"/>
          <w:sz w:val="24"/>
          <w:szCs w:val="24"/>
        </w:rPr>
        <w:t xml:space="preserve"> technician who receive referrals from community matrons, GPs and other members of the VW team</w:t>
      </w:r>
      <w:r w:rsidR="00B601CB">
        <w:rPr>
          <w:rFonts w:ascii="Arial" w:hAnsi="Arial" w:cs="Arial"/>
          <w:sz w:val="24"/>
          <w:szCs w:val="24"/>
        </w:rPr>
        <w:t xml:space="preserve"> for patients assessed as being at risk of medication related problems</w:t>
      </w:r>
      <w:r w:rsidR="00D929BA">
        <w:rPr>
          <w:rFonts w:ascii="Arial" w:hAnsi="Arial" w:cs="Arial"/>
          <w:sz w:val="24"/>
          <w:szCs w:val="24"/>
        </w:rPr>
        <w:t>.  The VW-MMT</w:t>
      </w:r>
      <w:r w:rsidR="00D21F06" w:rsidRPr="00D21F06">
        <w:rPr>
          <w:rFonts w:ascii="Arial" w:hAnsi="Arial" w:cs="Arial"/>
          <w:sz w:val="24"/>
          <w:szCs w:val="24"/>
        </w:rPr>
        <w:t xml:space="preserve"> provide domiciliary medication reviews using the Medicines Use Review (MUR) model to deliver the consultation. The MUR is predominantly an adherence review, which</w:t>
      </w:r>
      <w:r w:rsidR="00D21F06">
        <w:rPr>
          <w:rFonts w:ascii="Arial" w:hAnsi="Arial" w:cs="Arial"/>
          <w:sz w:val="24"/>
          <w:szCs w:val="24"/>
        </w:rPr>
        <w:t>:</w:t>
      </w:r>
      <w:r w:rsidR="00D21F06" w:rsidRPr="00D21F06">
        <w:rPr>
          <w:rFonts w:ascii="Arial" w:hAnsi="Arial" w:cs="Arial"/>
          <w:sz w:val="24"/>
          <w:szCs w:val="24"/>
        </w:rPr>
        <w:t xml:space="preserve"> </w:t>
      </w:r>
    </w:p>
    <w:p w:rsidR="00D21F06" w:rsidRPr="00D21F06" w:rsidRDefault="00D21F06" w:rsidP="008B6009">
      <w:pPr>
        <w:numPr>
          <w:ilvl w:val="0"/>
          <w:numId w:val="4"/>
        </w:numPr>
        <w:tabs>
          <w:tab w:val="left" w:pos="709"/>
        </w:tabs>
        <w:spacing w:after="0"/>
        <w:jc w:val="both"/>
        <w:rPr>
          <w:rFonts w:ascii="Arial" w:hAnsi="Arial" w:cs="Arial"/>
          <w:sz w:val="24"/>
          <w:szCs w:val="24"/>
        </w:rPr>
      </w:pPr>
      <w:r w:rsidRPr="00D21F06">
        <w:rPr>
          <w:rFonts w:ascii="Arial" w:hAnsi="Arial" w:cs="Arial"/>
          <w:sz w:val="24"/>
          <w:szCs w:val="24"/>
        </w:rPr>
        <w:t>Provides medicines optimisation to support adherence</w:t>
      </w:r>
    </w:p>
    <w:p w:rsidR="00D21F06" w:rsidRPr="00D21F06" w:rsidRDefault="00D21F06" w:rsidP="008B6009">
      <w:pPr>
        <w:numPr>
          <w:ilvl w:val="0"/>
          <w:numId w:val="4"/>
        </w:numPr>
        <w:tabs>
          <w:tab w:val="left" w:pos="709"/>
        </w:tabs>
        <w:spacing w:after="0"/>
        <w:jc w:val="both"/>
        <w:rPr>
          <w:rFonts w:ascii="Arial" w:hAnsi="Arial" w:cs="Arial"/>
          <w:sz w:val="24"/>
          <w:szCs w:val="24"/>
        </w:rPr>
      </w:pPr>
      <w:r w:rsidRPr="00D21F06">
        <w:rPr>
          <w:rFonts w:ascii="Arial" w:hAnsi="Arial" w:cs="Arial"/>
          <w:sz w:val="24"/>
          <w:szCs w:val="24"/>
        </w:rPr>
        <w:t>Establishes the patients actual use, experience and understanding of their medicines;</w:t>
      </w:r>
    </w:p>
    <w:p w:rsidR="00D21F06" w:rsidRPr="00D21F06" w:rsidRDefault="00D21F06" w:rsidP="008B6009">
      <w:pPr>
        <w:numPr>
          <w:ilvl w:val="0"/>
          <w:numId w:val="4"/>
        </w:numPr>
        <w:tabs>
          <w:tab w:val="left" w:pos="709"/>
        </w:tabs>
        <w:spacing w:after="0"/>
        <w:jc w:val="both"/>
        <w:rPr>
          <w:rFonts w:ascii="Arial" w:hAnsi="Arial" w:cs="Arial"/>
          <w:sz w:val="24"/>
          <w:szCs w:val="24"/>
        </w:rPr>
      </w:pPr>
      <w:r w:rsidRPr="00D21F06">
        <w:rPr>
          <w:rFonts w:ascii="Arial" w:hAnsi="Arial" w:cs="Arial"/>
          <w:sz w:val="24"/>
          <w:szCs w:val="24"/>
        </w:rPr>
        <w:t>Identifies, discusses and resolves poor or ineffective use of patients medicines;</w:t>
      </w:r>
    </w:p>
    <w:p w:rsidR="00D21F06" w:rsidRPr="00D21F06" w:rsidRDefault="00D21F06" w:rsidP="008B6009">
      <w:pPr>
        <w:numPr>
          <w:ilvl w:val="0"/>
          <w:numId w:val="4"/>
        </w:numPr>
        <w:tabs>
          <w:tab w:val="left" w:pos="709"/>
        </w:tabs>
        <w:spacing w:after="0"/>
        <w:jc w:val="both"/>
        <w:rPr>
          <w:rFonts w:ascii="Arial" w:hAnsi="Arial" w:cs="Arial"/>
          <w:sz w:val="24"/>
          <w:szCs w:val="24"/>
        </w:rPr>
      </w:pPr>
      <w:r w:rsidRPr="00D21F06">
        <w:rPr>
          <w:rFonts w:ascii="Arial" w:hAnsi="Arial" w:cs="Arial"/>
          <w:sz w:val="24"/>
          <w:szCs w:val="24"/>
        </w:rPr>
        <w:t>Identifies side effects and drug interactions that may affect compliance;</w:t>
      </w:r>
    </w:p>
    <w:p w:rsidR="00D21F06" w:rsidRPr="00D21F06" w:rsidRDefault="00D21F06" w:rsidP="008B6009">
      <w:pPr>
        <w:numPr>
          <w:ilvl w:val="0"/>
          <w:numId w:val="4"/>
        </w:numPr>
        <w:tabs>
          <w:tab w:val="left" w:pos="709"/>
        </w:tabs>
        <w:spacing w:after="0"/>
        <w:jc w:val="both"/>
        <w:rPr>
          <w:rFonts w:ascii="Arial" w:hAnsi="Arial" w:cs="Arial"/>
          <w:sz w:val="24"/>
          <w:szCs w:val="24"/>
        </w:rPr>
      </w:pPr>
      <w:r w:rsidRPr="00D21F06">
        <w:rPr>
          <w:rFonts w:ascii="Arial" w:hAnsi="Arial" w:cs="Arial"/>
          <w:sz w:val="24"/>
          <w:szCs w:val="24"/>
        </w:rPr>
        <w:t xml:space="preserve">Improves the clinical effectiveness and cost effectiveness of prescribed medicines </w:t>
      </w:r>
    </w:p>
    <w:p w:rsidR="00D21F06" w:rsidRPr="00D21F06" w:rsidRDefault="00D21F06" w:rsidP="008B6009">
      <w:pPr>
        <w:numPr>
          <w:ilvl w:val="0"/>
          <w:numId w:val="4"/>
        </w:numPr>
        <w:tabs>
          <w:tab w:val="left" w:pos="709"/>
        </w:tabs>
        <w:spacing w:after="0"/>
        <w:jc w:val="both"/>
        <w:rPr>
          <w:rFonts w:ascii="Arial" w:hAnsi="Arial" w:cs="Arial"/>
          <w:sz w:val="24"/>
          <w:szCs w:val="24"/>
        </w:rPr>
      </w:pPr>
      <w:r w:rsidRPr="00D21F06">
        <w:rPr>
          <w:rFonts w:ascii="Arial" w:hAnsi="Arial" w:cs="Arial"/>
          <w:sz w:val="24"/>
          <w:szCs w:val="24"/>
        </w:rPr>
        <w:t>Potentially reduces medicines wastage.</w:t>
      </w:r>
    </w:p>
    <w:p w:rsidR="000E7637" w:rsidRDefault="000E7637" w:rsidP="008B6009">
      <w:pPr>
        <w:tabs>
          <w:tab w:val="left" w:pos="1800"/>
        </w:tabs>
        <w:spacing w:after="0"/>
        <w:jc w:val="both"/>
        <w:rPr>
          <w:rFonts w:ascii="Arial" w:hAnsi="Arial" w:cs="Arial"/>
          <w:sz w:val="24"/>
          <w:szCs w:val="24"/>
        </w:rPr>
      </w:pPr>
    </w:p>
    <w:p w:rsidR="00A51DA7" w:rsidRPr="00D21F06" w:rsidRDefault="000E7637" w:rsidP="008B6009">
      <w:pPr>
        <w:tabs>
          <w:tab w:val="left" w:pos="1800"/>
        </w:tabs>
        <w:jc w:val="both"/>
        <w:rPr>
          <w:rFonts w:ascii="Arial" w:hAnsi="Arial" w:cs="Arial"/>
          <w:sz w:val="24"/>
          <w:szCs w:val="24"/>
        </w:rPr>
      </w:pPr>
      <w:r w:rsidRPr="000E7637">
        <w:rPr>
          <w:rFonts w:ascii="Arial" w:hAnsi="Arial" w:cs="Arial"/>
          <w:sz w:val="24"/>
          <w:szCs w:val="24"/>
        </w:rPr>
        <w:t xml:space="preserve">As an extension of the </w:t>
      </w:r>
      <w:r>
        <w:rPr>
          <w:rFonts w:ascii="Arial" w:hAnsi="Arial" w:cs="Arial"/>
          <w:sz w:val="24"/>
          <w:szCs w:val="24"/>
        </w:rPr>
        <w:t>VW</w:t>
      </w:r>
      <w:r w:rsidRPr="000E7637">
        <w:rPr>
          <w:rFonts w:ascii="Arial" w:hAnsi="Arial" w:cs="Arial"/>
          <w:sz w:val="24"/>
          <w:szCs w:val="24"/>
        </w:rPr>
        <w:t xml:space="preserve"> service, VW</w:t>
      </w:r>
      <w:r w:rsidR="00D929BA">
        <w:rPr>
          <w:rFonts w:ascii="Arial" w:hAnsi="Arial" w:cs="Arial"/>
          <w:sz w:val="24"/>
          <w:szCs w:val="24"/>
        </w:rPr>
        <w:t>-</w:t>
      </w:r>
      <w:r w:rsidRPr="000E7637">
        <w:rPr>
          <w:rFonts w:ascii="Arial" w:hAnsi="Arial" w:cs="Arial"/>
          <w:sz w:val="24"/>
          <w:szCs w:val="24"/>
        </w:rPr>
        <w:t>MM</w:t>
      </w:r>
      <w:r>
        <w:rPr>
          <w:rFonts w:ascii="Arial" w:hAnsi="Arial" w:cs="Arial"/>
          <w:sz w:val="24"/>
          <w:szCs w:val="24"/>
        </w:rPr>
        <w:t>T</w:t>
      </w:r>
      <w:r w:rsidRPr="000E7637">
        <w:rPr>
          <w:rFonts w:ascii="Arial" w:hAnsi="Arial" w:cs="Arial"/>
          <w:sz w:val="24"/>
          <w:szCs w:val="24"/>
        </w:rPr>
        <w:t xml:space="preserve"> in</w:t>
      </w:r>
      <w:r>
        <w:rPr>
          <w:rFonts w:cs="Arial"/>
          <w:szCs w:val="24"/>
        </w:rPr>
        <w:t xml:space="preserve"> </w:t>
      </w:r>
      <w:r w:rsidR="00A51DA7" w:rsidRPr="00D21F06">
        <w:rPr>
          <w:rFonts w:ascii="Arial" w:hAnsi="Arial" w:cs="Arial"/>
          <w:sz w:val="24"/>
          <w:szCs w:val="24"/>
        </w:rPr>
        <w:t>the Bootle locality of South Sefton</w:t>
      </w:r>
      <w:r w:rsidR="00306B02" w:rsidRPr="00D21F06">
        <w:rPr>
          <w:rFonts w:ascii="Arial" w:hAnsi="Arial" w:cs="Arial"/>
          <w:sz w:val="24"/>
          <w:szCs w:val="24"/>
        </w:rPr>
        <w:t xml:space="preserve"> undertook</w:t>
      </w:r>
      <w:r w:rsidR="00610B9D" w:rsidRPr="00D21F06">
        <w:rPr>
          <w:rFonts w:ascii="Arial" w:hAnsi="Arial" w:cs="Arial"/>
          <w:sz w:val="24"/>
          <w:szCs w:val="24"/>
        </w:rPr>
        <w:t xml:space="preserve"> a pilot</w:t>
      </w:r>
      <w:r w:rsidR="00306B02" w:rsidRPr="00D21F06">
        <w:rPr>
          <w:rFonts w:ascii="Arial" w:hAnsi="Arial" w:cs="Arial"/>
          <w:sz w:val="24"/>
          <w:szCs w:val="24"/>
        </w:rPr>
        <w:t xml:space="preserve"> project</w:t>
      </w:r>
      <w:r w:rsidR="00610B9D" w:rsidRPr="00D21F06">
        <w:rPr>
          <w:rFonts w:ascii="Arial" w:hAnsi="Arial" w:cs="Arial"/>
          <w:sz w:val="24"/>
          <w:szCs w:val="24"/>
        </w:rPr>
        <w:t xml:space="preserve"> with </w:t>
      </w:r>
      <w:r w:rsidR="00306B02" w:rsidRPr="00D21F06">
        <w:rPr>
          <w:rFonts w:ascii="Arial" w:hAnsi="Arial" w:cs="Arial"/>
          <w:sz w:val="24"/>
          <w:szCs w:val="24"/>
        </w:rPr>
        <w:t>Aintree University Hospital</w:t>
      </w:r>
      <w:r w:rsidR="00A51DA7" w:rsidRPr="00D21F06">
        <w:rPr>
          <w:rFonts w:ascii="Arial" w:hAnsi="Arial" w:cs="Arial"/>
          <w:sz w:val="24"/>
          <w:szCs w:val="24"/>
        </w:rPr>
        <w:t xml:space="preserve"> to </w:t>
      </w:r>
      <w:r w:rsidR="00306B02" w:rsidRPr="00D21F06">
        <w:rPr>
          <w:rFonts w:ascii="Arial" w:hAnsi="Arial" w:cs="Arial"/>
          <w:sz w:val="24"/>
          <w:szCs w:val="24"/>
        </w:rPr>
        <w:t xml:space="preserve">receive referrals from the </w:t>
      </w:r>
      <w:r w:rsidR="00306B02" w:rsidRPr="00D21F06">
        <w:rPr>
          <w:rFonts w:ascii="Arial" w:hAnsi="Arial" w:cs="Arial"/>
          <w:sz w:val="24"/>
          <w:szCs w:val="24"/>
        </w:rPr>
        <w:lastRenderedPageBreak/>
        <w:t xml:space="preserve">hospital pharmacy </w:t>
      </w:r>
      <w:r>
        <w:rPr>
          <w:rFonts w:ascii="Arial" w:hAnsi="Arial" w:cs="Arial"/>
          <w:sz w:val="24"/>
          <w:szCs w:val="24"/>
        </w:rPr>
        <w:t>for</w:t>
      </w:r>
      <w:r w:rsidR="00A51DA7" w:rsidRPr="00D21F06">
        <w:rPr>
          <w:rFonts w:ascii="Arial" w:hAnsi="Arial" w:cs="Arial"/>
          <w:sz w:val="24"/>
          <w:szCs w:val="24"/>
        </w:rPr>
        <w:t xml:space="preserve"> a domiciliary medication review with the patient and/or carer as appropriate, following hospital discharge. </w:t>
      </w:r>
      <w:r w:rsidR="00126E72" w:rsidRPr="00D21F06">
        <w:rPr>
          <w:rFonts w:ascii="Arial" w:hAnsi="Arial" w:cs="Arial"/>
          <w:sz w:val="24"/>
          <w:szCs w:val="24"/>
        </w:rPr>
        <w:t xml:space="preserve"> </w:t>
      </w:r>
    </w:p>
    <w:p w:rsidR="000E7637" w:rsidRPr="000E7637" w:rsidRDefault="000E7637" w:rsidP="008B6009">
      <w:pPr>
        <w:jc w:val="both"/>
        <w:rPr>
          <w:rFonts w:ascii="Arial" w:hAnsi="Arial" w:cs="Arial"/>
          <w:sz w:val="24"/>
          <w:szCs w:val="24"/>
        </w:rPr>
      </w:pPr>
      <w:r w:rsidRPr="000E7637">
        <w:rPr>
          <w:rFonts w:ascii="Arial" w:hAnsi="Arial" w:cs="Arial"/>
          <w:sz w:val="24"/>
          <w:szCs w:val="24"/>
        </w:rPr>
        <w:t>Aim:  To provide a domiciliary medicines reconciliation and MUR service for high risk groups of patients who have been recently discharged from hospital.</w:t>
      </w:r>
    </w:p>
    <w:p w:rsidR="000E7637" w:rsidRPr="000E7637" w:rsidRDefault="000E7637" w:rsidP="008B6009">
      <w:pPr>
        <w:jc w:val="both"/>
        <w:rPr>
          <w:rFonts w:ascii="Arial" w:hAnsi="Arial" w:cs="Arial"/>
          <w:sz w:val="24"/>
          <w:szCs w:val="24"/>
        </w:rPr>
      </w:pPr>
      <w:r w:rsidRPr="000E7637">
        <w:rPr>
          <w:rFonts w:ascii="Arial" w:hAnsi="Arial" w:cs="Arial"/>
          <w:sz w:val="24"/>
          <w:szCs w:val="24"/>
        </w:rPr>
        <w:t>Objectives:</w:t>
      </w:r>
    </w:p>
    <w:p w:rsidR="000E7637" w:rsidRP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Contribute to a reduction in risk of medication errors and adverse drug events by increasing the availability of accurate informat</w:t>
      </w:r>
      <w:r>
        <w:rPr>
          <w:rFonts w:ascii="Arial" w:hAnsi="Arial" w:cs="Arial"/>
        </w:rPr>
        <w:t>ion about a patient’s medicines</w:t>
      </w:r>
    </w:p>
    <w:p w:rsidR="000E7637" w:rsidRP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Improve communication between healthcare professionals and others involved in the transfer of patient care, a</w:t>
      </w:r>
      <w:r>
        <w:rPr>
          <w:rFonts w:ascii="Arial" w:hAnsi="Arial" w:cs="Arial"/>
        </w:rPr>
        <w:t>nd patients and their carers</w:t>
      </w:r>
    </w:p>
    <w:p w:rsidR="000E7637" w:rsidRP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Increase patient involvement in their own care by helping them to develop a better u</w:t>
      </w:r>
      <w:r>
        <w:rPr>
          <w:rFonts w:ascii="Arial" w:hAnsi="Arial" w:cs="Arial"/>
        </w:rPr>
        <w:t>nderstanding of their medicines</w:t>
      </w:r>
    </w:p>
    <w:p w:rsidR="000E7637" w:rsidRP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Improve medication adherence through medicines optimisation</w:t>
      </w:r>
    </w:p>
    <w:p w:rsidR="000E7637" w:rsidRP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Reduce the volume of medicines that are wasted when unnecessary, or duplica</w:t>
      </w:r>
      <w:r>
        <w:rPr>
          <w:rFonts w:ascii="Arial" w:hAnsi="Arial" w:cs="Arial"/>
        </w:rPr>
        <w:t>ted prescriptions are dispensed</w:t>
      </w:r>
    </w:p>
    <w:p w:rsidR="000E7637" w:rsidRP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Reduce medicines-related admissions/re-admissions to hospital or car</w:t>
      </w:r>
      <w:r w:rsidR="00D32295">
        <w:rPr>
          <w:rFonts w:ascii="Arial" w:hAnsi="Arial" w:cs="Arial"/>
        </w:rPr>
        <w:t>e homes which can occur when un</w:t>
      </w:r>
      <w:r w:rsidRPr="000E7637">
        <w:rPr>
          <w:rFonts w:ascii="Arial" w:hAnsi="Arial" w:cs="Arial"/>
        </w:rPr>
        <w:t xml:space="preserve">reconciled medicines lead to prescribing or </w:t>
      </w:r>
      <w:r>
        <w:rPr>
          <w:rFonts w:ascii="Arial" w:hAnsi="Arial" w:cs="Arial"/>
        </w:rPr>
        <w:t>administration errors</w:t>
      </w:r>
    </w:p>
    <w:p w:rsidR="000E7637" w:rsidRP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Utilise the specialised knowledge and skills of pharmacists, recognising the contribution that they can m</w:t>
      </w:r>
      <w:r>
        <w:rPr>
          <w:rFonts w:ascii="Arial" w:hAnsi="Arial" w:cs="Arial"/>
        </w:rPr>
        <w:t>ake in optimising medicines use</w:t>
      </w:r>
    </w:p>
    <w:p w:rsidR="000E7637" w:rsidRDefault="000E7637" w:rsidP="008B6009">
      <w:pPr>
        <w:pStyle w:val="ListParagraph"/>
        <w:numPr>
          <w:ilvl w:val="0"/>
          <w:numId w:val="5"/>
        </w:numPr>
        <w:spacing w:line="276" w:lineRule="auto"/>
        <w:contextualSpacing w:val="0"/>
        <w:jc w:val="both"/>
        <w:rPr>
          <w:rFonts w:ascii="Arial" w:hAnsi="Arial" w:cs="Arial"/>
        </w:rPr>
      </w:pPr>
      <w:r w:rsidRPr="000E7637">
        <w:rPr>
          <w:rFonts w:ascii="Arial" w:hAnsi="Arial" w:cs="Arial"/>
        </w:rPr>
        <w:t>Signposting and referring</w:t>
      </w:r>
      <w:r>
        <w:rPr>
          <w:rFonts w:ascii="Arial" w:hAnsi="Arial" w:cs="Arial"/>
        </w:rPr>
        <w:t xml:space="preserve"> patients to the VW multidisciplinary team</w:t>
      </w:r>
      <w:r w:rsidRPr="000E7637">
        <w:rPr>
          <w:rFonts w:ascii="Arial" w:hAnsi="Arial" w:cs="Arial"/>
        </w:rPr>
        <w:t xml:space="preserve"> </w:t>
      </w:r>
      <w:r w:rsidR="00A52B78">
        <w:rPr>
          <w:rFonts w:ascii="Arial" w:hAnsi="Arial" w:cs="Arial"/>
        </w:rPr>
        <w:t>for further support</w:t>
      </w:r>
      <w:r w:rsidRPr="000E7637">
        <w:rPr>
          <w:rFonts w:ascii="Arial" w:hAnsi="Arial" w:cs="Arial"/>
        </w:rPr>
        <w:t xml:space="preserve"> if other needs are identified by the </w:t>
      </w:r>
      <w:r w:rsidR="00A52B78">
        <w:rPr>
          <w:rFonts w:ascii="Arial" w:hAnsi="Arial" w:cs="Arial"/>
        </w:rPr>
        <w:t>MMT</w:t>
      </w:r>
      <w:r w:rsidRPr="000E7637">
        <w:rPr>
          <w:rFonts w:ascii="Arial" w:hAnsi="Arial" w:cs="Arial"/>
        </w:rPr>
        <w:t>, facilitating a holistic approach to patient care.</w:t>
      </w:r>
    </w:p>
    <w:p w:rsidR="00D32295" w:rsidRPr="000E7637" w:rsidRDefault="00D32295" w:rsidP="008B6009">
      <w:pPr>
        <w:pStyle w:val="ListParagraph"/>
        <w:spacing w:line="276" w:lineRule="auto"/>
        <w:ind w:left="360"/>
        <w:contextualSpacing w:val="0"/>
        <w:jc w:val="both"/>
        <w:rPr>
          <w:rFonts w:ascii="Arial" w:hAnsi="Arial" w:cs="Arial"/>
        </w:rPr>
      </w:pPr>
    </w:p>
    <w:p w:rsidR="00630174" w:rsidRPr="00630174" w:rsidRDefault="00630174" w:rsidP="008B6009">
      <w:pPr>
        <w:tabs>
          <w:tab w:val="left" w:pos="1800"/>
        </w:tabs>
        <w:jc w:val="both"/>
        <w:rPr>
          <w:rFonts w:ascii="Arial" w:hAnsi="Arial" w:cs="Arial"/>
          <w:b/>
          <w:sz w:val="24"/>
          <w:szCs w:val="24"/>
        </w:rPr>
      </w:pPr>
      <w:r w:rsidRPr="00630174">
        <w:rPr>
          <w:rFonts w:ascii="Arial" w:hAnsi="Arial" w:cs="Arial"/>
          <w:b/>
          <w:sz w:val="24"/>
          <w:szCs w:val="24"/>
        </w:rPr>
        <w:t>Method</w:t>
      </w:r>
    </w:p>
    <w:p w:rsidR="00B2325C" w:rsidRPr="00630174" w:rsidRDefault="00B2325C" w:rsidP="008B6009">
      <w:pPr>
        <w:spacing w:after="0"/>
        <w:jc w:val="both"/>
        <w:rPr>
          <w:rFonts w:ascii="Arial" w:hAnsi="Arial" w:cs="Arial"/>
          <w:sz w:val="24"/>
          <w:szCs w:val="24"/>
        </w:rPr>
      </w:pPr>
      <w:r>
        <w:rPr>
          <w:rFonts w:ascii="Arial" w:hAnsi="Arial" w:cs="Arial"/>
          <w:sz w:val="24"/>
          <w:szCs w:val="24"/>
        </w:rPr>
        <w:t>During the 6-month pilot period, h</w:t>
      </w:r>
      <w:r w:rsidR="00B139DA" w:rsidRPr="00630174">
        <w:rPr>
          <w:rFonts w:ascii="Arial" w:hAnsi="Arial" w:cs="Arial"/>
          <w:sz w:val="24"/>
          <w:szCs w:val="24"/>
        </w:rPr>
        <w:t>ospital pharmacist</w:t>
      </w:r>
      <w:r w:rsidR="00630174">
        <w:rPr>
          <w:rFonts w:ascii="Arial" w:hAnsi="Arial" w:cs="Arial"/>
          <w:sz w:val="24"/>
          <w:szCs w:val="24"/>
        </w:rPr>
        <w:t>s and pharmacy technicians</w:t>
      </w:r>
      <w:r w:rsidR="00B139DA" w:rsidRPr="00630174">
        <w:rPr>
          <w:rFonts w:ascii="Arial" w:hAnsi="Arial" w:cs="Arial"/>
          <w:sz w:val="24"/>
          <w:szCs w:val="24"/>
        </w:rPr>
        <w:t xml:space="preserve"> </w:t>
      </w:r>
      <w:r w:rsidR="00630174">
        <w:rPr>
          <w:rFonts w:ascii="Arial" w:hAnsi="Arial" w:cs="Arial"/>
          <w:sz w:val="24"/>
          <w:szCs w:val="24"/>
        </w:rPr>
        <w:t>identified</w:t>
      </w:r>
      <w:r w:rsidR="00B139DA" w:rsidRPr="00630174">
        <w:rPr>
          <w:rFonts w:ascii="Arial" w:hAnsi="Arial" w:cs="Arial"/>
          <w:sz w:val="24"/>
          <w:szCs w:val="24"/>
        </w:rPr>
        <w:t xml:space="preserve"> patients</w:t>
      </w:r>
      <w:r w:rsidR="00630174">
        <w:rPr>
          <w:rFonts w:ascii="Arial" w:hAnsi="Arial" w:cs="Arial"/>
          <w:sz w:val="24"/>
          <w:szCs w:val="24"/>
        </w:rPr>
        <w:t xml:space="preserve"> admitted to either the </w:t>
      </w:r>
      <w:r w:rsidR="00D6358A">
        <w:rPr>
          <w:rFonts w:ascii="Arial" w:hAnsi="Arial" w:cs="Arial"/>
          <w:sz w:val="24"/>
          <w:szCs w:val="24"/>
        </w:rPr>
        <w:t>s</w:t>
      </w:r>
      <w:r w:rsidR="00630174">
        <w:rPr>
          <w:rFonts w:ascii="Arial" w:hAnsi="Arial" w:cs="Arial"/>
          <w:sz w:val="24"/>
          <w:szCs w:val="24"/>
        </w:rPr>
        <w:t>troke ward or acute admissions unit</w:t>
      </w:r>
      <w:r w:rsidR="00B139DA" w:rsidRPr="00630174">
        <w:rPr>
          <w:rFonts w:ascii="Arial" w:hAnsi="Arial" w:cs="Arial"/>
          <w:sz w:val="24"/>
          <w:szCs w:val="24"/>
        </w:rPr>
        <w:t xml:space="preserve"> that fit</w:t>
      </w:r>
      <w:r w:rsidR="00D6358A">
        <w:rPr>
          <w:rFonts w:ascii="Arial" w:hAnsi="Arial" w:cs="Arial"/>
          <w:sz w:val="24"/>
          <w:szCs w:val="24"/>
        </w:rPr>
        <w:t>ted</w:t>
      </w:r>
      <w:r w:rsidR="00B139DA" w:rsidRPr="00630174">
        <w:rPr>
          <w:rFonts w:ascii="Arial" w:hAnsi="Arial" w:cs="Arial"/>
          <w:sz w:val="24"/>
          <w:szCs w:val="24"/>
        </w:rPr>
        <w:t xml:space="preserve"> the</w:t>
      </w:r>
      <w:r w:rsidR="00D6358A">
        <w:rPr>
          <w:rFonts w:ascii="Arial" w:hAnsi="Arial" w:cs="Arial"/>
          <w:sz w:val="24"/>
          <w:szCs w:val="24"/>
        </w:rPr>
        <w:t xml:space="preserve"> project’s</w:t>
      </w:r>
      <w:r w:rsidR="00B139DA" w:rsidRPr="00630174">
        <w:rPr>
          <w:rFonts w:ascii="Arial" w:hAnsi="Arial" w:cs="Arial"/>
          <w:sz w:val="24"/>
          <w:szCs w:val="24"/>
        </w:rPr>
        <w:t xml:space="preserve"> inclusion criteria (</w:t>
      </w:r>
      <w:r w:rsidR="00D6358A">
        <w:rPr>
          <w:rFonts w:ascii="Arial" w:hAnsi="Arial" w:cs="Arial"/>
          <w:sz w:val="24"/>
          <w:szCs w:val="24"/>
        </w:rPr>
        <w:t>Box 1</w:t>
      </w:r>
      <w:r w:rsidR="00B139DA" w:rsidRPr="00630174">
        <w:rPr>
          <w:rFonts w:ascii="Arial" w:hAnsi="Arial" w:cs="Arial"/>
          <w:sz w:val="24"/>
          <w:szCs w:val="24"/>
        </w:rPr>
        <w:t>)</w:t>
      </w:r>
      <w:r>
        <w:rPr>
          <w:rFonts w:ascii="Arial" w:hAnsi="Arial" w:cs="Arial"/>
          <w:sz w:val="24"/>
          <w:szCs w:val="24"/>
        </w:rPr>
        <w:t xml:space="preserve">. </w:t>
      </w:r>
      <w:r w:rsidR="00A52B78">
        <w:rPr>
          <w:rFonts w:ascii="Arial" w:hAnsi="Arial" w:cs="Arial"/>
          <w:sz w:val="24"/>
          <w:szCs w:val="24"/>
        </w:rPr>
        <w:t xml:space="preserve">Referral criteria were developed jointly during a brainstorm by the hospital and CCG MMTs.  </w:t>
      </w:r>
      <w:r>
        <w:rPr>
          <w:rFonts w:ascii="Arial" w:hAnsi="Arial" w:cs="Arial"/>
          <w:sz w:val="24"/>
          <w:szCs w:val="24"/>
        </w:rPr>
        <w:t>The hospital pharmacist/technician</w:t>
      </w:r>
      <w:r w:rsidR="00B139DA" w:rsidRPr="00630174">
        <w:rPr>
          <w:rFonts w:ascii="Arial" w:hAnsi="Arial" w:cs="Arial"/>
          <w:sz w:val="24"/>
          <w:szCs w:val="24"/>
        </w:rPr>
        <w:t xml:space="preserve"> discuss</w:t>
      </w:r>
      <w:r w:rsidR="00D6358A">
        <w:rPr>
          <w:rFonts w:ascii="Arial" w:hAnsi="Arial" w:cs="Arial"/>
          <w:sz w:val="24"/>
          <w:szCs w:val="24"/>
        </w:rPr>
        <w:t>ed the purpose of the</w:t>
      </w:r>
      <w:r w:rsidR="00B139DA" w:rsidRPr="00630174">
        <w:rPr>
          <w:rFonts w:ascii="Arial" w:hAnsi="Arial" w:cs="Arial"/>
          <w:sz w:val="24"/>
          <w:szCs w:val="24"/>
        </w:rPr>
        <w:t xml:space="preserve"> project with the patient and gain</w:t>
      </w:r>
      <w:r w:rsidR="0036473F">
        <w:rPr>
          <w:rFonts w:ascii="Arial" w:hAnsi="Arial" w:cs="Arial"/>
          <w:sz w:val="24"/>
          <w:szCs w:val="24"/>
        </w:rPr>
        <w:t>ed</w:t>
      </w:r>
      <w:r w:rsidR="00B139DA" w:rsidRPr="00630174">
        <w:rPr>
          <w:rFonts w:ascii="Arial" w:hAnsi="Arial" w:cs="Arial"/>
          <w:sz w:val="24"/>
          <w:szCs w:val="24"/>
        </w:rPr>
        <w:t xml:space="preserve"> conse</w:t>
      </w:r>
      <w:r w:rsidR="00D6358A">
        <w:rPr>
          <w:rFonts w:ascii="Arial" w:hAnsi="Arial" w:cs="Arial"/>
          <w:sz w:val="24"/>
          <w:szCs w:val="24"/>
        </w:rPr>
        <w:t>nt for referral to the VW</w:t>
      </w:r>
      <w:r w:rsidR="00D929BA">
        <w:rPr>
          <w:rFonts w:ascii="Arial" w:hAnsi="Arial" w:cs="Arial"/>
          <w:sz w:val="24"/>
          <w:szCs w:val="24"/>
        </w:rPr>
        <w:t>-</w:t>
      </w:r>
      <w:r w:rsidR="00D6358A">
        <w:rPr>
          <w:rFonts w:ascii="Arial" w:hAnsi="Arial" w:cs="Arial"/>
          <w:sz w:val="24"/>
          <w:szCs w:val="24"/>
        </w:rPr>
        <w:t>MMT.</w:t>
      </w:r>
    </w:p>
    <w:p w:rsidR="007333B3" w:rsidRDefault="007333B3" w:rsidP="007333B3">
      <w:pPr>
        <w:spacing w:after="0" w:line="240" w:lineRule="auto"/>
        <w:jc w:val="both"/>
        <w:rPr>
          <w:rFonts w:ascii="Arial" w:hAnsi="Arial" w:cs="Arial"/>
          <w:sz w:val="24"/>
          <w:szCs w:val="24"/>
        </w:rPr>
      </w:pPr>
    </w:p>
    <w:p w:rsidR="00630174" w:rsidRDefault="00630174" w:rsidP="00630174">
      <w:pPr>
        <w:spacing w:after="0" w:line="240" w:lineRule="auto"/>
        <w:jc w:val="both"/>
        <w:rPr>
          <w:rFonts w:ascii="Arial" w:hAnsi="Arial" w:cs="Arial"/>
          <w:sz w:val="24"/>
          <w:szCs w:val="24"/>
        </w:rPr>
      </w:pPr>
      <w:r w:rsidRPr="00630174">
        <w:rPr>
          <w:rFonts w:ascii="Arial" w:hAnsi="Arial" w:cs="Arial"/>
          <w:noProof/>
          <w:sz w:val="24"/>
          <w:szCs w:val="24"/>
          <w:lang w:eastAsia="en-GB"/>
        </w:rPr>
        <w:lastRenderedPageBreak/>
        <mc:AlternateContent>
          <mc:Choice Requires="wps">
            <w:drawing>
              <wp:inline distT="0" distB="0" distL="0" distR="0">
                <wp:extent cx="5638800" cy="3570514"/>
                <wp:effectExtent l="0" t="0" r="1905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570514"/>
                        </a:xfrm>
                        <a:prstGeom prst="rect">
                          <a:avLst/>
                        </a:prstGeom>
                        <a:solidFill>
                          <a:srgbClr val="FFFFFF"/>
                        </a:solidFill>
                        <a:ln w="9525">
                          <a:solidFill>
                            <a:srgbClr val="000000"/>
                          </a:solidFill>
                          <a:miter lim="800000"/>
                          <a:headEnd/>
                          <a:tailEnd/>
                        </a:ln>
                      </wps:spPr>
                      <wps:txbx>
                        <w:txbxContent>
                          <w:p w:rsidR="00FC04C9" w:rsidRPr="0036473F" w:rsidRDefault="00FC04C9" w:rsidP="00630174">
                            <w:pPr>
                              <w:jc w:val="both"/>
                              <w:rPr>
                                <w:rFonts w:ascii="Arial" w:hAnsi="Arial" w:cs="Arial"/>
                                <w:b/>
                                <w:sz w:val="20"/>
                                <w:szCs w:val="20"/>
                                <w:u w:val="single"/>
                              </w:rPr>
                            </w:pPr>
                            <w:r w:rsidRPr="0036473F">
                              <w:rPr>
                                <w:rFonts w:ascii="Arial" w:hAnsi="Arial" w:cs="Arial"/>
                                <w:b/>
                                <w:sz w:val="20"/>
                                <w:szCs w:val="20"/>
                                <w:u w:val="single"/>
                              </w:rPr>
                              <w:t>Box 1</w:t>
                            </w:r>
                            <w:r>
                              <w:rPr>
                                <w:rFonts w:ascii="Arial" w:hAnsi="Arial" w:cs="Arial"/>
                                <w:b/>
                                <w:sz w:val="20"/>
                                <w:szCs w:val="20"/>
                                <w:u w:val="single"/>
                              </w:rPr>
                              <w:t>: Inclusion and Exclusion Criteria</w:t>
                            </w:r>
                          </w:p>
                          <w:p w:rsidR="00FC04C9" w:rsidRPr="0036473F" w:rsidRDefault="00FC04C9" w:rsidP="00630174">
                            <w:pPr>
                              <w:jc w:val="both"/>
                              <w:rPr>
                                <w:rFonts w:ascii="Arial" w:hAnsi="Arial" w:cs="Arial"/>
                                <w:sz w:val="20"/>
                                <w:szCs w:val="20"/>
                                <w:u w:val="single"/>
                              </w:rPr>
                            </w:pPr>
                            <w:r w:rsidRPr="0036473F">
                              <w:rPr>
                                <w:rFonts w:ascii="Arial" w:hAnsi="Arial" w:cs="Arial"/>
                                <w:sz w:val="20"/>
                                <w:szCs w:val="20"/>
                                <w:u w:val="single"/>
                              </w:rPr>
                              <w:t>Inclusion Criteria</w:t>
                            </w:r>
                          </w:p>
                          <w:p w:rsidR="00FC04C9" w:rsidRPr="0036473F" w:rsidRDefault="00FC04C9" w:rsidP="00630174">
                            <w:pPr>
                              <w:pStyle w:val="ListParagraph"/>
                              <w:numPr>
                                <w:ilvl w:val="0"/>
                                <w:numId w:val="8"/>
                              </w:numPr>
                              <w:contextualSpacing w:val="0"/>
                              <w:jc w:val="both"/>
                              <w:rPr>
                                <w:rFonts w:ascii="Arial" w:hAnsi="Arial" w:cs="Arial"/>
                                <w:sz w:val="20"/>
                                <w:szCs w:val="20"/>
                              </w:rPr>
                            </w:pPr>
                            <w:r w:rsidRPr="0036473F">
                              <w:rPr>
                                <w:rFonts w:ascii="Arial" w:hAnsi="Arial" w:cs="Arial"/>
                                <w:sz w:val="20"/>
                                <w:szCs w:val="20"/>
                              </w:rPr>
                              <w:t>Registered with a GP practice in the Bootle VW locality in South Sefton</w:t>
                            </w:r>
                          </w:p>
                          <w:p w:rsidR="00FC04C9" w:rsidRPr="0036473F" w:rsidRDefault="00FC04C9" w:rsidP="00630174">
                            <w:pPr>
                              <w:pStyle w:val="ListParagraph"/>
                              <w:numPr>
                                <w:ilvl w:val="0"/>
                                <w:numId w:val="8"/>
                              </w:numPr>
                              <w:contextualSpacing w:val="0"/>
                              <w:jc w:val="both"/>
                              <w:rPr>
                                <w:rFonts w:ascii="Arial" w:hAnsi="Arial" w:cs="Arial"/>
                                <w:sz w:val="20"/>
                                <w:szCs w:val="20"/>
                              </w:rPr>
                            </w:pPr>
                            <w:r w:rsidRPr="0036473F">
                              <w:rPr>
                                <w:rFonts w:ascii="Arial" w:hAnsi="Arial" w:cs="Arial"/>
                                <w:sz w:val="20"/>
                                <w:szCs w:val="20"/>
                              </w:rPr>
                              <w:t>At least one of the following referral criteria:</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Difficulties in managing medicines</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Would benefit from further education on the use of their medicines</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At risk of falls which may be related to the medications they are taking</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Recent changes to their medicines which may need explaining</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Recent unplanned medicines related hospital admission</w:t>
                            </w:r>
                          </w:p>
                          <w:p w:rsidR="00FC04C9" w:rsidRPr="0036473F" w:rsidRDefault="00FC04C9" w:rsidP="00D6358A">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High risk medication (as per hospital rating system)</w:t>
                            </w:r>
                          </w:p>
                          <w:p w:rsidR="00FC04C9" w:rsidRPr="0036473F" w:rsidRDefault="00FC04C9" w:rsidP="00D6358A">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AKI related readmission</w:t>
                            </w:r>
                          </w:p>
                          <w:p w:rsidR="00FC04C9" w:rsidRPr="0036473F" w:rsidRDefault="00FC04C9" w:rsidP="00D6358A">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May have unwanted medication in home</w:t>
                            </w:r>
                            <w:r>
                              <w:rPr>
                                <w:rFonts w:ascii="Arial" w:hAnsi="Arial" w:cs="Arial"/>
                                <w:sz w:val="20"/>
                                <w:szCs w:val="20"/>
                              </w:rPr>
                              <w:t xml:space="preserve"> </w:t>
                            </w:r>
                            <w:r w:rsidRPr="0036473F">
                              <w:rPr>
                                <w:rFonts w:ascii="Arial" w:hAnsi="Arial" w:cs="Arial"/>
                                <w:sz w:val="20"/>
                                <w:szCs w:val="20"/>
                              </w:rPr>
                              <w:t>as</w:t>
                            </w:r>
                            <w:r>
                              <w:rPr>
                                <w:rFonts w:ascii="Arial" w:hAnsi="Arial" w:cs="Arial"/>
                                <w:sz w:val="20"/>
                                <w:szCs w:val="20"/>
                              </w:rPr>
                              <w:t xml:space="preserve"> a</w:t>
                            </w:r>
                            <w:r w:rsidRPr="0036473F">
                              <w:rPr>
                                <w:rFonts w:ascii="Arial" w:hAnsi="Arial" w:cs="Arial"/>
                                <w:sz w:val="20"/>
                                <w:szCs w:val="20"/>
                              </w:rPr>
                              <w:t xml:space="preserve"> result of </w:t>
                            </w:r>
                            <w:r>
                              <w:rPr>
                                <w:rFonts w:ascii="Arial" w:hAnsi="Arial" w:cs="Arial"/>
                                <w:sz w:val="20"/>
                                <w:szCs w:val="20"/>
                              </w:rPr>
                              <w:t>recent changes</w:t>
                            </w:r>
                          </w:p>
                          <w:p w:rsidR="00FC04C9" w:rsidRPr="0036473F" w:rsidRDefault="00FC04C9" w:rsidP="00B2325C">
                            <w:pPr>
                              <w:pStyle w:val="ListParagraph"/>
                              <w:numPr>
                                <w:ilvl w:val="1"/>
                                <w:numId w:val="8"/>
                              </w:numPr>
                              <w:spacing w:after="240"/>
                              <w:contextualSpacing w:val="0"/>
                              <w:jc w:val="both"/>
                              <w:rPr>
                                <w:rFonts w:ascii="Arial" w:hAnsi="Arial" w:cs="Arial"/>
                                <w:sz w:val="20"/>
                                <w:szCs w:val="20"/>
                              </w:rPr>
                            </w:pPr>
                            <w:r w:rsidRPr="0036473F">
                              <w:rPr>
                                <w:rFonts w:ascii="Arial" w:hAnsi="Arial" w:cs="Arial"/>
                                <w:sz w:val="20"/>
                                <w:szCs w:val="20"/>
                              </w:rPr>
                              <w:t>Other (details to be provided)</w:t>
                            </w:r>
                          </w:p>
                          <w:p w:rsidR="00FC04C9" w:rsidRPr="0036473F" w:rsidRDefault="00FC04C9" w:rsidP="00630174">
                            <w:pPr>
                              <w:jc w:val="both"/>
                              <w:rPr>
                                <w:rFonts w:ascii="Arial" w:hAnsi="Arial" w:cs="Arial"/>
                                <w:sz w:val="20"/>
                                <w:szCs w:val="20"/>
                                <w:u w:val="single"/>
                              </w:rPr>
                            </w:pPr>
                            <w:r w:rsidRPr="0036473F">
                              <w:rPr>
                                <w:rFonts w:ascii="Arial" w:hAnsi="Arial" w:cs="Arial"/>
                                <w:sz w:val="20"/>
                                <w:szCs w:val="20"/>
                                <w:u w:val="single"/>
                              </w:rPr>
                              <w:t>Exclusion Criteria</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Patient lacks capacity to consent to VW referral</w:t>
                            </w:r>
                            <w:r>
                              <w:rPr>
                                <w:rFonts w:ascii="Arial" w:hAnsi="Arial" w:cs="Arial"/>
                                <w:sz w:val="20"/>
                                <w:szCs w:val="20"/>
                              </w:rPr>
                              <w:t xml:space="preserve"> and consent not possible from </w:t>
                            </w:r>
                            <w:r w:rsidRPr="0036473F">
                              <w:rPr>
                                <w:rFonts w:ascii="Arial" w:hAnsi="Arial" w:cs="Arial"/>
                                <w:sz w:val="20"/>
                                <w:szCs w:val="20"/>
                              </w:rPr>
                              <w:t xml:space="preserve"> carer/relative</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Palliative patient</w:t>
                            </w:r>
                          </w:p>
                          <w:p w:rsidR="00FC04C9" w:rsidRPr="0036473F" w:rsidRDefault="00FC04C9" w:rsidP="00630174">
                            <w:pPr>
                              <w:pStyle w:val="ListParagraph"/>
                              <w:numPr>
                                <w:ilvl w:val="0"/>
                                <w:numId w:val="9"/>
                              </w:numPr>
                              <w:contextualSpacing w:val="0"/>
                              <w:jc w:val="both"/>
                              <w:rPr>
                                <w:rFonts w:ascii="Arial" w:hAnsi="Arial" w:cs="Arial"/>
                                <w:sz w:val="20"/>
                                <w:szCs w:val="20"/>
                              </w:rPr>
                            </w:pPr>
                            <w:r>
                              <w:rPr>
                                <w:rFonts w:ascii="Arial" w:hAnsi="Arial" w:cs="Arial"/>
                                <w:sz w:val="20"/>
                                <w:szCs w:val="20"/>
                              </w:rPr>
                              <w:t>C</w:t>
                            </w:r>
                            <w:r w:rsidRPr="0036473F">
                              <w:rPr>
                                <w:rFonts w:ascii="Arial" w:hAnsi="Arial" w:cs="Arial"/>
                                <w:sz w:val="20"/>
                                <w:szCs w:val="20"/>
                              </w:rPr>
                              <w:t>are home patient</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Elective day case</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Pregnancy</w:t>
                            </w:r>
                          </w:p>
                        </w:txbxContent>
                      </wps:txbx>
                      <wps:bodyPr rot="0" vert="horz" wrap="square" lIns="91440" tIns="45720" rIns="91440" bIns="45720" anchor="t" anchorCtr="0">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444pt;height:2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RwJQ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p/mCEsM0&#10;FulR9IG8hZ5Moj6d9QWGPVgMDD1eY51Trt7eA//miYFNy8xO3DoHXStYjfzG8WV28XTA8RGk6j5C&#10;jd+wfYAE1DdOR/FQDoLoWKfjuTaRCsfL+dV0uczRxdE3nS/y+XiW/mDF83PrfHgvQJN4KKnD4id4&#10;drj3IdJhxXNI/M2DkvVWKpUMt6s2ypEDw0bZpnVC/ylMGdKV9Ho+mQ8K/BUiT+tPEFoG7HgldUkx&#10;H1wxiBVRt3emTufApBrOSFmZk5BRu0HF0Fc9BkZ1K6iPKKmDobNxEvHQgvtBSYddXVL/fc+coER9&#10;MFiW6/FsFscgGbP5YoKGu/RUlx5mOEKVNFAyHDchjU7ka+AWy9fIJOwLkxNX7Nak92my4jhc2inq&#10;Zf7XTwAAAP//AwBQSwMEFAAGAAgAAAAhAAhKxgTcAAAABQEAAA8AAABkcnMvZG93bnJldi54bWxM&#10;j8FOwzAQRO9I/IO1SFwQdWghmBCnQkgguEFbwdWNt0mEvQ6xm4a/Z+ECl5FGs5p5Wy4n78SIQ+wC&#10;abiYZSCQ6mA7ajRs1g/nCkRMhqxxgVDDF0ZYVsdHpSlsONArjqvUCC6hWBgNbUp9IWWsW/QmzkKP&#10;xNkuDN4ktkMj7WAOXO6dnGdZLr3piBda0+N9i/XHau81qMun8T0+L17e6nznbtLZ9fj4OWh9ejLd&#10;3YJIOKW/Y/jBZ3SomGkb9mSjcBr4kfSrnCml2G41XOXzBciqlP/pq28AAAD//wMAUEsBAi0AFAAG&#10;AAgAAAAhALaDOJL+AAAA4QEAABMAAAAAAAAAAAAAAAAAAAAAAFtDb250ZW50X1R5cGVzXS54bWxQ&#10;SwECLQAUAAYACAAAACEAOP0h/9YAAACUAQAACwAAAAAAAAAAAAAAAAAvAQAAX3JlbHMvLnJlbHNQ&#10;SwECLQAUAAYACAAAACEAxUj0cCUCAABHBAAADgAAAAAAAAAAAAAAAAAuAgAAZHJzL2Uyb0RvYy54&#10;bWxQSwECLQAUAAYACAAAACEACErGBNwAAAAFAQAADwAAAAAAAAAAAAAAAAB/BAAAZHJzL2Rvd25y&#10;ZXYueG1sUEsFBgAAAAAEAAQA8wAAAIgFAAAAAA==&#10;">
                <v:textbox>
                  <w:txbxContent>
                    <w:p w:rsidR="00FC04C9" w:rsidRPr="0036473F" w:rsidRDefault="00FC04C9" w:rsidP="00630174">
                      <w:pPr>
                        <w:jc w:val="both"/>
                        <w:rPr>
                          <w:rFonts w:ascii="Arial" w:hAnsi="Arial" w:cs="Arial"/>
                          <w:b/>
                          <w:sz w:val="20"/>
                          <w:szCs w:val="20"/>
                          <w:u w:val="single"/>
                        </w:rPr>
                      </w:pPr>
                      <w:r w:rsidRPr="0036473F">
                        <w:rPr>
                          <w:rFonts w:ascii="Arial" w:hAnsi="Arial" w:cs="Arial"/>
                          <w:b/>
                          <w:sz w:val="20"/>
                          <w:szCs w:val="20"/>
                          <w:u w:val="single"/>
                        </w:rPr>
                        <w:t>Box 1</w:t>
                      </w:r>
                      <w:r>
                        <w:rPr>
                          <w:rFonts w:ascii="Arial" w:hAnsi="Arial" w:cs="Arial"/>
                          <w:b/>
                          <w:sz w:val="20"/>
                          <w:szCs w:val="20"/>
                          <w:u w:val="single"/>
                        </w:rPr>
                        <w:t>: Inclusion and Exclusion Criteria</w:t>
                      </w:r>
                    </w:p>
                    <w:p w:rsidR="00FC04C9" w:rsidRPr="0036473F" w:rsidRDefault="00FC04C9" w:rsidP="00630174">
                      <w:pPr>
                        <w:jc w:val="both"/>
                        <w:rPr>
                          <w:rFonts w:ascii="Arial" w:hAnsi="Arial" w:cs="Arial"/>
                          <w:sz w:val="20"/>
                          <w:szCs w:val="20"/>
                          <w:u w:val="single"/>
                        </w:rPr>
                      </w:pPr>
                      <w:r w:rsidRPr="0036473F">
                        <w:rPr>
                          <w:rFonts w:ascii="Arial" w:hAnsi="Arial" w:cs="Arial"/>
                          <w:sz w:val="20"/>
                          <w:szCs w:val="20"/>
                          <w:u w:val="single"/>
                        </w:rPr>
                        <w:t>Inclusion Criteria</w:t>
                      </w:r>
                    </w:p>
                    <w:p w:rsidR="00FC04C9" w:rsidRPr="0036473F" w:rsidRDefault="00FC04C9" w:rsidP="00630174">
                      <w:pPr>
                        <w:pStyle w:val="ListParagraph"/>
                        <w:numPr>
                          <w:ilvl w:val="0"/>
                          <w:numId w:val="8"/>
                        </w:numPr>
                        <w:contextualSpacing w:val="0"/>
                        <w:jc w:val="both"/>
                        <w:rPr>
                          <w:rFonts w:ascii="Arial" w:hAnsi="Arial" w:cs="Arial"/>
                          <w:sz w:val="20"/>
                          <w:szCs w:val="20"/>
                        </w:rPr>
                      </w:pPr>
                      <w:r w:rsidRPr="0036473F">
                        <w:rPr>
                          <w:rFonts w:ascii="Arial" w:hAnsi="Arial" w:cs="Arial"/>
                          <w:sz w:val="20"/>
                          <w:szCs w:val="20"/>
                        </w:rPr>
                        <w:t>Registered with a GP practice in the Bootle VW locality in South Sefton</w:t>
                      </w:r>
                    </w:p>
                    <w:p w:rsidR="00FC04C9" w:rsidRPr="0036473F" w:rsidRDefault="00FC04C9" w:rsidP="00630174">
                      <w:pPr>
                        <w:pStyle w:val="ListParagraph"/>
                        <w:numPr>
                          <w:ilvl w:val="0"/>
                          <w:numId w:val="8"/>
                        </w:numPr>
                        <w:contextualSpacing w:val="0"/>
                        <w:jc w:val="both"/>
                        <w:rPr>
                          <w:rFonts w:ascii="Arial" w:hAnsi="Arial" w:cs="Arial"/>
                          <w:sz w:val="20"/>
                          <w:szCs w:val="20"/>
                        </w:rPr>
                      </w:pPr>
                      <w:r w:rsidRPr="0036473F">
                        <w:rPr>
                          <w:rFonts w:ascii="Arial" w:hAnsi="Arial" w:cs="Arial"/>
                          <w:sz w:val="20"/>
                          <w:szCs w:val="20"/>
                        </w:rPr>
                        <w:t>At least one of the following referral criteria:</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Difficulties in managing medicines</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Would benefit from further education on the use of their medicines</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At risk of falls which may be related to the medications they are taking</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Recent changes to their medicines which may need explaining</w:t>
                      </w:r>
                    </w:p>
                    <w:p w:rsidR="00FC04C9" w:rsidRPr="0036473F" w:rsidRDefault="00FC04C9" w:rsidP="0049722B">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Recent unplanned medicines related hospital admission</w:t>
                      </w:r>
                    </w:p>
                    <w:p w:rsidR="00FC04C9" w:rsidRPr="0036473F" w:rsidRDefault="00FC04C9" w:rsidP="00D6358A">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High risk medication (as per hospital rating system)</w:t>
                      </w:r>
                    </w:p>
                    <w:p w:rsidR="00FC04C9" w:rsidRPr="0036473F" w:rsidRDefault="00FC04C9" w:rsidP="00D6358A">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AKI related readmission</w:t>
                      </w:r>
                    </w:p>
                    <w:p w:rsidR="00FC04C9" w:rsidRPr="0036473F" w:rsidRDefault="00FC04C9" w:rsidP="00D6358A">
                      <w:pPr>
                        <w:pStyle w:val="ListParagraph"/>
                        <w:numPr>
                          <w:ilvl w:val="1"/>
                          <w:numId w:val="8"/>
                        </w:numPr>
                        <w:contextualSpacing w:val="0"/>
                        <w:jc w:val="both"/>
                        <w:rPr>
                          <w:rFonts w:ascii="Arial" w:hAnsi="Arial" w:cs="Arial"/>
                          <w:sz w:val="20"/>
                          <w:szCs w:val="20"/>
                        </w:rPr>
                      </w:pPr>
                      <w:r w:rsidRPr="0036473F">
                        <w:rPr>
                          <w:rFonts w:ascii="Arial" w:hAnsi="Arial" w:cs="Arial"/>
                          <w:sz w:val="20"/>
                          <w:szCs w:val="20"/>
                        </w:rPr>
                        <w:t>May have unwanted medication in home</w:t>
                      </w:r>
                      <w:r>
                        <w:rPr>
                          <w:rFonts w:ascii="Arial" w:hAnsi="Arial" w:cs="Arial"/>
                          <w:sz w:val="20"/>
                          <w:szCs w:val="20"/>
                        </w:rPr>
                        <w:t xml:space="preserve"> </w:t>
                      </w:r>
                      <w:r w:rsidRPr="0036473F">
                        <w:rPr>
                          <w:rFonts w:ascii="Arial" w:hAnsi="Arial" w:cs="Arial"/>
                          <w:sz w:val="20"/>
                          <w:szCs w:val="20"/>
                        </w:rPr>
                        <w:t>as</w:t>
                      </w:r>
                      <w:r>
                        <w:rPr>
                          <w:rFonts w:ascii="Arial" w:hAnsi="Arial" w:cs="Arial"/>
                          <w:sz w:val="20"/>
                          <w:szCs w:val="20"/>
                        </w:rPr>
                        <w:t xml:space="preserve"> a</w:t>
                      </w:r>
                      <w:r w:rsidRPr="0036473F">
                        <w:rPr>
                          <w:rFonts w:ascii="Arial" w:hAnsi="Arial" w:cs="Arial"/>
                          <w:sz w:val="20"/>
                          <w:szCs w:val="20"/>
                        </w:rPr>
                        <w:t xml:space="preserve"> result of </w:t>
                      </w:r>
                      <w:r>
                        <w:rPr>
                          <w:rFonts w:ascii="Arial" w:hAnsi="Arial" w:cs="Arial"/>
                          <w:sz w:val="20"/>
                          <w:szCs w:val="20"/>
                        </w:rPr>
                        <w:t>recent changes</w:t>
                      </w:r>
                    </w:p>
                    <w:p w:rsidR="00FC04C9" w:rsidRPr="0036473F" w:rsidRDefault="00FC04C9" w:rsidP="00B2325C">
                      <w:pPr>
                        <w:pStyle w:val="ListParagraph"/>
                        <w:numPr>
                          <w:ilvl w:val="1"/>
                          <w:numId w:val="8"/>
                        </w:numPr>
                        <w:spacing w:after="240"/>
                        <w:contextualSpacing w:val="0"/>
                        <w:jc w:val="both"/>
                        <w:rPr>
                          <w:rFonts w:ascii="Arial" w:hAnsi="Arial" w:cs="Arial"/>
                          <w:sz w:val="20"/>
                          <w:szCs w:val="20"/>
                        </w:rPr>
                      </w:pPr>
                      <w:r w:rsidRPr="0036473F">
                        <w:rPr>
                          <w:rFonts w:ascii="Arial" w:hAnsi="Arial" w:cs="Arial"/>
                          <w:sz w:val="20"/>
                          <w:szCs w:val="20"/>
                        </w:rPr>
                        <w:t>Other (details to be provided)</w:t>
                      </w:r>
                    </w:p>
                    <w:p w:rsidR="00FC04C9" w:rsidRPr="0036473F" w:rsidRDefault="00FC04C9" w:rsidP="00630174">
                      <w:pPr>
                        <w:jc w:val="both"/>
                        <w:rPr>
                          <w:rFonts w:ascii="Arial" w:hAnsi="Arial" w:cs="Arial"/>
                          <w:sz w:val="20"/>
                          <w:szCs w:val="20"/>
                          <w:u w:val="single"/>
                        </w:rPr>
                      </w:pPr>
                      <w:r w:rsidRPr="0036473F">
                        <w:rPr>
                          <w:rFonts w:ascii="Arial" w:hAnsi="Arial" w:cs="Arial"/>
                          <w:sz w:val="20"/>
                          <w:szCs w:val="20"/>
                          <w:u w:val="single"/>
                        </w:rPr>
                        <w:t>Exclusion Criteria</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Patient lacks capacity to consent to VW referral</w:t>
                      </w:r>
                      <w:r>
                        <w:rPr>
                          <w:rFonts w:ascii="Arial" w:hAnsi="Arial" w:cs="Arial"/>
                          <w:sz w:val="20"/>
                          <w:szCs w:val="20"/>
                        </w:rPr>
                        <w:t xml:space="preserve"> and consent not possible from </w:t>
                      </w:r>
                      <w:r w:rsidRPr="0036473F">
                        <w:rPr>
                          <w:rFonts w:ascii="Arial" w:hAnsi="Arial" w:cs="Arial"/>
                          <w:sz w:val="20"/>
                          <w:szCs w:val="20"/>
                        </w:rPr>
                        <w:t xml:space="preserve"> carer/relative</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Palliative patient</w:t>
                      </w:r>
                    </w:p>
                    <w:p w:rsidR="00FC04C9" w:rsidRPr="0036473F" w:rsidRDefault="00FC04C9" w:rsidP="00630174">
                      <w:pPr>
                        <w:pStyle w:val="ListParagraph"/>
                        <w:numPr>
                          <w:ilvl w:val="0"/>
                          <w:numId w:val="9"/>
                        </w:numPr>
                        <w:contextualSpacing w:val="0"/>
                        <w:jc w:val="both"/>
                        <w:rPr>
                          <w:rFonts w:ascii="Arial" w:hAnsi="Arial" w:cs="Arial"/>
                          <w:sz w:val="20"/>
                          <w:szCs w:val="20"/>
                        </w:rPr>
                      </w:pPr>
                      <w:r>
                        <w:rPr>
                          <w:rFonts w:ascii="Arial" w:hAnsi="Arial" w:cs="Arial"/>
                          <w:sz w:val="20"/>
                          <w:szCs w:val="20"/>
                        </w:rPr>
                        <w:t>C</w:t>
                      </w:r>
                      <w:r w:rsidRPr="0036473F">
                        <w:rPr>
                          <w:rFonts w:ascii="Arial" w:hAnsi="Arial" w:cs="Arial"/>
                          <w:sz w:val="20"/>
                          <w:szCs w:val="20"/>
                        </w:rPr>
                        <w:t>are home patient</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Elective day case</w:t>
                      </w:r>
                    </w:p>
                    <w:p w:rsidR="00FC04C9" w:rsidRPr="0036473F" w:rsidRDefault="00FC04C9" w:rsidP="00630174">
                      <w:pPr>
                        <w:pStyle w:val="ListParagraph"/>
                        <w:numPr>
                          <w:ilvl w:val="0"/>
                          <w:numId w:val="9"/>
                        </w:numPr>
                        <w:contextualSpacing w:val="0"/>
                        <w:jc w:val="both"/>
                        <w:rPr>
                          <w:rFonts w:ascii="Arial" w:hAnsi="Arial" w:cs="Arial"/>
                          <w:sz w:val="20"/>
                          <w:szCs w:val="20"/>
                        </w:rPr>
                      </w:pPr>
                      <w:r w:rsidRPr="0036473F">
                        <w:rPr>
                          <w:rFonts w:ascii="Arial" w:hAnsi="Arial" w:cs="Arial"/>
                          <w:sz w:val="20"/>
                          <w:szCs w:val="20"/>
                        </w:rPr>
                        <w:t>Pregnancy</w:t>
                      </w:r>
                    </w:p>
                  </w:txbxContent>
                </v:textbox>
                <w10:anchorlock/>
              </v:shape>
            </w:pict>
          </mc:Fallback>
        </mc:AlternateContent>
      </w:r>
    </w:p>
    <w:p w:rsidR="00630174" w:rsidRPr="00630174" w:rsidRDefault="00630174" w:rsidP="00630174">
      <w:pPr>
        <w:spacing w:after="0" w:line="240" w:lineRule="auto"/>
        <w:jc w:val="both"/>
        <w:rPr>
          <w:rFonts w:ascii="Arial" w:hAnsi="Arial" w:cs="Arial"/>
          <w:sz w:val="24"/>
          <w:szCs w:val="24"/>
        </w:rPr>
      </w:pPr>
    </w:p>
    <w:p w:rsidR="00D32295" w:rsidRPr="00630174" w:rsidRDefault="00D32295" w:rsidP="008B6009">
      <w:pPr>
        <w:spacing w:after="0"/>
        <w:jc w:val="both"/>
        <w:rPr>
          <w:rFonts w:ascii="Arial" w:hAnsi="Arial" w:cs="Arial"/>
          <w:sz w:val="24"/>
          <w:szCs w:val="24"/>
        </w:rPr>
      </w:pPr>
      <w:r>
        <w:rPr>
          <w:rFonts w:ascii="Arial" w:hAnsi="Arial" w:cs="Arial"/>
          <w:sz w:val="24"/>
          <w:szCs w:val="24"/>
        </w:rPr>
        <w:t>For each consenting patient, a</w:t>
      </w:r>
      <w:r w:rsidRPr="00630174">
        <w:rPr>
          <w:rFonts w:ascii="Arial" w:hAnsi="Arial" w:cs="Arial"/>
          <w:sz w:val="24"/>
          <w:szCs w:val="24"/>
        </w:rPr>
        <w:t xml:space="preserve"> referral </w:t>
      </w:r>
      <w:r>
        <w:rPr>
          <w:rFonts w:ascii="Arial" w:hAnsi="Arial" w:cs="Arial"/>
          <w:sz w:val="24"/>
          <w:szCs w:val="24"/>
        </w:rPr>
        <w:t>form was completed and sent</w:t>
      </w:r>
      <w:r w:rsidRPr="00630174">
        <w:rPr>
          <w:rFonts w:ascii="Arial" w:hAnsi="Arial" w:cs="Arial"/>
          <w:sz w:val="24"/>
          <w:szCs w:val="24"/>
        </w:rPr>
        <w:t xml:space="preserve"> via secure email to the VW co-ordinator in the Bootle locality with a copy of the patient</w:t>
      </w:r>
      <w:r>
        <w:rPr>
          <w:rFonts w:ascii="Arial" w:hAnsi="Arial" w:cs="Arial"/>
          <w:sz w:val="24"/>
          <w:szCs w:val="24"/>
        </w:rPr>
        <w:t>’</w:t>
      </w:r>
      <w:r w:rsidRPr="00630174">
        <w:rPr>
          <w:rFonts w:ascii="Arial" w:hAnsi="Arial" w:cs="Arial"/>
          <w:sz w:val="24"/>
          <w:szCs w:val="24"/>
        </w:rPr>
        <w:t xml:space="preserve">s hospital discharge </w:t>
      </w:r>
      <w:r>
        <w:rPr>
          <w:rFonts w:ascii="Arial" w:hAnsi="Arial" w:cs="Arial"/>
          <w:sz w:val="24"/>
          <w:szCs w:val="24"/>
        </w:rPr>
        <w:t xml:space="preserve">letter.  </w:t>
      </w:r>
      <w:r w:rsidRPr="00630174">
        <w:rPr>
          <w:rFonts w:ascii="Arial" w:hAnsi="Arial" w:cs="Arial"/>
          <w:sz w:val="24"/>
          <w:szCs w:val="24"/>
        </w:rPr>
        <w:t xml:space="preserve">The VW co-ordinator </w:t>
      </w:r>
      <w:r>
        <w:rPr>
          <w:rFonts w:ascii="Arial" w:hAnsi="Arial" w:cs="Arial"/>
          <w:sz w:val="24"/>
          <w:szCs w:val="24"/>
        </w:rPr>
        <w:t>then sent the referral to the Bootle VW</w:t>
      </w:r>
      <w:r w:rsidRPr="00630174">
        <w:rPr>
          <w:rFonts w:ascii="Arial" w:hAnsi="Arial" w:cs="Arial"/>
          <w:sz w:val="24"/>
          <w:szCs w:val="24"/>
        </w:rPr>
        <w:t xml:space="preserve"> Pharmacist and Pharmacy Technician</w:t>
      </w:r>
      <w:r>
        <w:rPr>
          <w:rFonts w:ascii="Arial" w:hAnsi="Arial" w:cs="Arial"/>
          <w:sz w:val="24"/>
          <w:szCs w:val="24"/>
        </w:rPr>
        <w:t xml:space="preserve"> who</w:t>
      </w:r>
      <w:r w:rsidRPr="00630174">
        <w:rPr>
          <w:rFonts w:ascii="Arial" w:hAnsi="Arial" w:cs="Arial"/>
          <w:sz w:val="24"/>
          <w:szCs w:val="24"/>
        </w:rPr>
        <w:t xml:space="preserve"> arrange</w:t>
      </w:r>
      <w:r>
        <w:rPr>
          <w:rFonts w:ascii="Arial" w:hAnsi="Arial" w:cs="Arial"/>
          <w:sz w:val="24"/>
          <w:szCs w:val="24"/>
        </w:rPr>
        <w:t>d</w:t>
      </w:r>
      <w:r w:rsidRPr="00630174">
        <w:rPr>
          <w:rFonts w:ascii="Arial" w:hAnsi="Arial" w:cs="Arial"/>
          <w:sz w:val="24"/>
          <w:szCs w:val="24"/>
        </w:rPr>
        <w:t xml:space="preserve"> and carr</w:t>
      </w:r>
      <w:r>
        <w:rPr>
          <w:rFonts w:ascii="Arial" w:hAnsi="Arial" w:cs="Arial"/>
          <w:sz w:val="24"/>
          <w:szCs w:val="24"/>
        </w:rPr>
        <w:t>ied</w:t>
      </w:r>
      <w:r w:rsidRPr="00630174">
        <w:rPr>
          <w:rFonts w:ascii="Arial" w:hAnsi="Arial" w:cs="Arial"/>
          <w:sz w:val="24"/>
          <w:szCs w:val="24"/>
        </w:rPr>
        <w:t xml:space="preserve"> out a domiciliary </w:t>
      </w:r>
      <w:r>
        <w:rPr>
          <w:rFonts w:ascii="Arial" w:hAnsi="Arial" w:cs="Arial"/>
          <w:sz w:val="24"/>
          <w:szCs w:val="24"/>
        </w:rPr>
        <w:t>visit</w:t>
      </w:r>
      <w:r w:rsidRPr="00630174">
        <w:rPr>
          <w:rFonts w:ascii="Arial" w:hAnsi="Arial" w:cs="Arial"/>
          <w:sz w:val="24"/>
          <w:szCs w:val="24"/>
        </w:rPr>
        <w:t xml:space="preserve"> within two weeks of discharge</w:t>
      </w:r>
      <w:r>
        <w:rPr>
          <w:rFonts w:ascii="Arial" w:hAnsi="Arial" w:cs="Arial"/>
          <w:sz w:val="24"/>
          <w:szCs w:val="24"/>
        </w:rPr>
        <w:t>.  Feedback was</w:t>
      </w:r>
      <w:r w:rsidRPr="00630174">
        <w:rPr>
          <w:rFonts w:ascii="Arial" w:hAnsi="Arial" w:cs="Arial"/>
          <w:sz w:val="24"/>
          <w:szCs w:val="24"/>
        </w:rPr>
        <w:t xml:space="preserve"> </w:t>
      </w:r>
      <w:r>
        <w:rPr>
          <w:rFonts w:ascii="Arial" w:hAnsi="Arial" w:cs="Arial"/>
          <w:sz w:val="24"/>
          <w:szCs w:val="24"/>
        </w:rPr>
        <w:t>provided</w:t>
      </w:r>
      <w:r w:rsidRPr="00630174">
        <w:rPr>
          <w:rFonts w:ascii="Arial" w:hAnsi="Arial" w:cs="Arial"/>
          <w:sz w:val="24"/>
          <w:szCs w:val="24"/>
        </w:rPr>
        <w:t xml:space="preserve"> to the patient’s GP and</w:t>
      </w:r>
      <w:r>
        <w:rPr>
          <w:rFonts w:ascii="Arial" w:hAnsi="Arial" w:cs="Arial"/>
          <w:sz w:val="24"/>
          <w:szCs w:val="24"/>
        </w:rPr>
        <w:t xml:space="preserve"> community pharmacist</w:t>
      </w:r>
      <w:r w:rsidRPr="00630174">
        <w:rPr>
          <w:rFonts w:ascii="Arial" w:hAnsi="Arial" w:cs="Arial"/>
          <w:sz w:val="24"/>
          <w:szCs w:val="24"/>
        </w:rPr>
        <w:t xml:space="preserve"> as required</w:t>
      </w:r>
      <w:r>
        <w:rPr>
          <w:rFonts w:ascii="Arial" w:hAnsi="Arial" w:cs="Arial"/>
          <w:sz w:val="24"/>
          <w:szCs w:val="24"/>
        </w:rPr>
        <w:t>.</w:t>
      </w:r>
      <w:r w:rsidRPr="00630174">
        <w:rPr>
          <w:rFonts w:ascii="Arial" w:hAnsi="Arial" w:cs="Arial"/>
          <w:sz w:val="24"/>
          <w:szCs w:val="24"/>
        </w:rPr>
        <w:t xml:space="preserve"> </w:t>
      </w:r>
      <w:r>
        <w:rPr>
          <w:rFonts w:ascii="Arial" w:hAnsi="Arial" w:cs="Arial"/>
          <w:sz w:val="24"/>
          <w:szCs w:val="24"/>
        </w:rPr>
        <w:t>The VW</w:t>
      </w:r>
      <w:r w:rsidR="00D929BA">
        <w:rPr>
          <w:rFonts w:ascii="Arial" w:hAnsi="Arial" w:cs="Arial"/>
          <w:sz w:val="24"/>
          <w:szCs w:val="24"/>
        </w:rPr>
        <w:t>-</w:t>
      </w:r>
      <w:r>
        <w:rPr>
          <w:rFonts w:ascii="Arial" w:hAnsi="Arial" w:cs="Arial"/>
          <w:sz w:val="24"/>
          <w:szCs w:val="24"/>
        </w:rPr>
        <w:t>MMT could</w:t>
      </w:r>
      <w:r w:rsidRPr="00630174">
        <w:rPr>
          <w:rFonts w:ascii="Arial" w:hAnsi="Arial" w:cs="Arial"/>
          <w:sz w:val="24"/>
          <w:szCs w:val="24"/>
        </w:rPr>
        <w:t>, with patient consent, refer to other discip</w:t>
      </w:r>
      <w:r>
        <w:rPr>
          <w:rFonts w:ascii="Arial" w:hAnsi="Arial" w:cs="Arial"/>
          <w:sz w:val="24"/>
          <w:szCs w:val="24"/>
        </w:rPr>
        <w:t>lines on the VW if other needs we</w:t>
      </w:r>
      <w:r w:rsidRPr="00630174">
        <w:rPr>
          <w:rFonts w:ascii="Arial" w:hAnsi="Arial" w:cs="Arial"/>
          <w:sz w:val="24"/>
          <w:szCs w:val="24"/>
        </w:rPr>
        <w:t>re identified and further support required</w:t>
      </w:r>
      <w:r>
        <w:rPr>
          <w:rFonts w:ascii="Arial" w:hAnsi="Arial" w:cs="Arial"/>
          <w:sz w:val="24"/>
          <w:szCs w:val="24"/>
        </w:rPr>
        <w:t>.</w:t>
      </w:r>
    </w:p>
    <w:p w:rsidR="00D32295" w:rsidRDefault="00D32295" w:rsidP="008B6009">
      <w:pPr>
        <w:spacing w:after="0"/>
        <w:jc w:val="both"/>
        <w:rPr>
          <w:rFonts w:ascii="Arial" w:hAnsi="Arial" w:cs="Arial"/>
          <w:sz w:val="24"/>
          <w:szCs w:val="24"/>
        </w:rPr>
      </w:pPr>
    </w:p>
    <w:p w:rsidR="00D32295" w:rsidRDefault="00D32295" w:rsidP="008B6009">
      <w:pPr>
        <w:spacing w:after="0"/>
        <w:jc w:val="both"/>
        <w:rPr>
          <w:rFonts w:ascii="Arial" w:hAnsi="Arial" w:cs="Arial"/>
          <w:sz w:val="24"/>
          <w:szCs w:val="24"/>
        </w:rPr>
      </w:pPr>
      <w:r w:rsidRPr="00630174">
        <w:rPr>
          <w:rFonts w:ascii="Arial" w:hAnsi="Arial" w:cs="Arial"/>
          <w:sz w:val="24"/>
          <w:szCs w:val="24"/>
        </w:rPr>
        <w:t xml:space="preserve">Follow up telephone calls </w:t>
      </w:r>
      <w:r>
        <w:rPr>
          <w:rFonts w:ascii="Arial" w:hAnsi="Arial" w:cs="Arial"/>
          <w:sz w:val="24"/>
          <w:szCs w:val="24"/>
        </w:rPr>
        <w:t>were</w:t>
      </w:r>
      <w:r w:rsidRPr="00630174">
        <w:rPr>
          <w:rFonts w:ascii="Arial" w:hAnsi="Arial" w:cs="Arial"/>
          <w:sz w:val="24"/>
          <w:szCs w:val="24"/>
        </w:rPr>
        <w:t xml:space="preserve"> undertaken by the VW</w:t>
      </w:r>
      <w:r w:rsidR="00D929BA">
        <w:rPr>
          <w:rFonts w:ascii="Arial" w:hAnsi="Arial" w:cs="Arial"/>
          <w:sz w:val="24"/>
          <w:szCs w:val="24"/>
        </w:rPr>
        <w:t>-</w:t>
      </w:r>
      <w:r w:rsidRPr="00630174">
        <w:rPr>
          <w:rFonts w:ascii="Arial" w:hAnsi="Arial" w:cs="Arial"/>
          <w:sz w:val="24"/>
          <w:szCs w:val="24"/>
        </w:rPr>
        <w:t>MM</w:t>
      </w:r>
      <w:r>
        <w:rPr>
          <w:rFonts w:ascii="Arial" w:hAnsi="Arial" w:cs="Arial"/>
          <w:sz w:val="24"/>
          <w:szCs w:val="24"/>
        </w:rPr>
        <w:t>T</w:t>
      </w:r>
      <w:r w:rsidRPr="00630174">
        <w:rPr>
          <w:rFonts w:ascii="Arial" w:hAnsi="Arial" w:cs="Arial"/>
          <w:sz w:val="24"/>
          <w:szCs w:val="24"/>
        </w:rPr>
        <w:t xml:space="preserve"> team at 5 and 13 weeks following hospital discharge. </w:t>
      </w:r>
    </w:p>
    <w:p w:rsidR="00564394" w:rsidRDefault="00564394" w:rsidP="008B6009">
      <w:pPr>
        <w:spacing w:after="0"/>
        <w:jc w:val="both"/>
        <w:rPr>
          <w:rFonts w:ascii="Arial" w:hAnsi="Arial" w:cs="Arial"/>
          <w:sz w:val="24"/>
          <w:szCs w:val="24"/>
        </w:rPr>
      </w:pPr>
    </w:p>
    <w:p w:rsidR="00564394" w:rsidRDefault="00564394" w:rsidP="008B6009">
      <w:pPr>
        <w:spacing w:after="0"/>
        <w:rPr>
          <w:rFonts w:ascii="Arial" w:hAnsi="Arial" w:cs="Arial"/>
          <w:sz w:val="24"/>
          <w:szCs w:val="24"/>
          <w:u w:val="single"/>
        </w:rPr>
      </w:pPr>
      <w:r w:rsidRPr="00564394">
        <w:rPr>
          <w:rFonts w:ascii="Arial" w:hAnsi="Arial" w:cs="Arial"/>
          <w:sz w:val="24"/>
          <w:szCs w:val="24"/>
          <w:u w:val="single"/>
        </w:rPr>
        <w:t>Outcome Recording</w:t>
      </w:r>
    </w:p>
    <w:p w:rsidR="00564394" w:rsidRPr="00564394" w:rsidRDefault="00564394" w:rsidP="008B6009">
      <w:pPr>
        <w:rPr>
          <w:rFonts w:ascii="Arial" w:hAnsi="Arial" w:cs="Arial"/>
          <w:sz w:val="24"/>
          <w:szCs w:val="24"/>
        </w:rPr>
      </w:pPr>
      <w:r w:rsidRPr="00564394">
        <w:rPr>
          <w:rFonts w:ascii="Arial" w:hAnsi="Arial" w:cs="Arial"/>
          <w:sz w:val="24"/>
          <w:szCs w:val="24"/>
        </w:rPr>
        <w:t>All visits were documented on the VW ‘sharepoint’ by the VW</w:t>
      </w:r>
      <w:r w:rsidR="00D929BA">
        <w:rPr>
          <w:rFonts w:ascii="Arial" w:hAnsi="Arial" w:cs="Arial"/>
          <w:sz w:val="24"/>
          <w:szCs w:val="24"/>
        </w:rPr>
        <w:t>-</w:t>
      </w:r>
      <w:r w:rsidRPr="00564394">
        <w:rPr>
          <w:rFonts w:ascii="Arial" w:hAnsi="Arial" w:cs="Arial"/>
          <w:sz w:val="24"/>
          <w:szCs w:val="24"/>
        </w:rPr>
        <w:t xml:space="preserve">MMT and </w:t>
      </w:r>
      <w:r w:rsidR="005E7214">
        <w:rPr>
          <w:rFonts w:ascii="Arial" w:hAnsi="Arial" w:cs="Arial"/>
          <w:sz w:val="24"/>
          <w:szCs w:val="24"/>
        </w:rPr>
        <w:t>interventions made were</w:t>
      </w:r>
      <w:r>
        <w:rPr>
          <w:rFonts w:ascii="Arial" w:hAnsi="Arial" w:cs="Arial"/>
          <w:sz w:val="24"/>
          <w:szCs w:val="24"/>
        </w:rPr>
        <w:t xml:space="preserve"> </w:t>
      </w:r>
      <w:r w:rsidRPr="00564394">
        <w:rPr>
          <w:rFonts w:ascii="Arial" w:hAnsi="Arial" w:cs="Arial"/>
          <w:sz w:val="24"/>
          <w:szCs w:val="24"/>
        </w:rPr>
        <w:t>categorised under the following headings:</w:t>
      </w:r>
    </w:p>
    <w:p w:rsidR="00564394" w:rsidRDefault="007E2173" w:rsidP="008B6009">
      <w:pPr>
        <w:pStyle w:val="ListParagraph"/>
        <w:numPr>
          <w:ilvl w:val="0"/>
          <w:numId w:val="12"/>
        </w:numPr>
        <w:spacing w:line="276" w:lineRule="auto"/>
        <w:contextualSpacing w:val="0"/>
        <w:rPr>
          <w:rFonts w:ascii="Arial" w:hAnsi="Arial" w:cs="Arial"/>
        </w:rPr>
      </w:pPr>
      <w:r>
        <w:rPr>
          <w:rFonts w:ascii="Arial" w:hAnsi="Arial" w:cs="Arial"/>
        </w:rPr>
        <w:t>Medicines o</w:t>
      </w:r>
      <w:r w:rsidR="00564394" w:rsidRPr="004B4C92">
        <w:rPr>
          <w:rFonts w:ascii="Arial" w:hAnsi="Arial" w:cs="Arial"/>
        </w:rPr>
        <w:t>ptimisation</w:t>
      </w:r>
      <w:r>
        <w:rPr>
          <w:rFonts w:ascii="Arial" w:hAnsi="Arial" w:cs="Arial"/>
        </w:rPr>
        <w:t xml:space="preserve"> (eg regimen simplification, dose optimisation)</w:t>
      </w:r>
    </w:p>
    <w:p w:rsidR="00326D7B" w:rsidRPr="004B4C92" w:rsidRDefault="00326D7B" w:rsidP="008B6009">
      <w:pPr>
        <w:pStyle w:val="ListParagraph"/>
        <w:numPr>
          <w:ilvl w:val="0"/>
          <w:numId w:val="12"/>
        </w:numPr>
        <w:spacing w:line="276" w:lineRule="auto"/>
        <w:contextualSpacing w:val="0"/>
        <w:rPr>
          <w:rFonts w:ascii="Arial" w:hAnsi="Arial" w:cs="Arial"/>
        </w:rPr>
      </w:pPr>
      <w:r>
        <w:rPr>
          <w:rFonts w:ascii="Arial" w:hAnsi="Arial" w:cs="Arial"/>
        </w:rPr>
        <w:t>Medicines education/counselling</w:t>
      </w:r>
    </w:p>
    <w:p w:rsidR="007E2173" w:rsidRPr="007E2173" w:rsidRDefault="00564394" w:rsidP="008B6009">
      <w:pPr>
        <w:pStyle w:val="ListParagraph"/>
        <w:numPr>
          <w:ilvl w:val="0"/>
          <w:numId w:val="12"/>
        </w:numPr>
        <w:spacing w:line="276" w:lineRule="auto"/>
        <w:contextualSpacing w:val="0"/>
        <w:rPr>
          <w:rFonts w:ascii="Arial" w:hAnsi="Arial" w:cs="Arial"/>
        </w:rPr>
      </w:pPr>
      <w:r w:rsidRPr="00564394">
        <w:rPr>
          <w:rFonts w:ascii="Arial" w:hAnsi="Arial" w:cs="Arial"/>
        </w:rPr>
        <w:t>M</w:t>
      </w:r>
      <w:r w:rsidR="007E2173">
        <w:rPr>
          <w:rFonts w:ascii="Arial" w:hAnsi="Arial" w:cs="Arial"/>
        </w:rPr>
        <w:t>edicines a</w:t>
      </w:r>
      <w:r w:rsidRPr="00564394">
        <w:rPr>
          <w:rFonts w:ascii="Arial" w:hAnsi="Arial" w:cs="Arial"/>
        </w:rPr>
        <w:t>dherence</w:t>
      </w:r>
      <w:r w:rsidR="007E2173">
        <w:rPr>
          <w:rFonts w:ascii="Arial" w:hAnsi="Arial" w:cs="Arial"/>
        </w:rPr>
        <w:t xml:space="preserve"> advice</w:t>
      </w:r>
    </w:p>
    <w:p w:rsidR="00564394" w:rsidRPr="00564394" w:rsidRDefault="007E2173" w:rsidP="008B6009">
      <w:pPr>
        <w:pStyle w:val="ListParagraph"/>
        <w:numPr>
          <w:ilvl w:val="0"/>
          <w:numId w:val="12"/>
        </w:numPr>
        <w:spacing w:line="276" w:lineRule="auto"/>
        <w:contextualSpacing w:val="0"/>
        <w:rPr>
          <w:rFonts w:ascii="Arial" w:hAnsi="Arial" w:cs="Arial"/>
        </w:rPr>
      </w:pPr>
      <w:r>
        <w:rPr>
          <w:rFonts w:ascii="Arial" w:hAnsi="Arial" w:cs="Arial"/>
        </w:rPr>
        <w:t>Inhaler t</w:t>
      </w:r>
      <w:r w:rsidR="00564394" w:rsidRPr="00564394">
        <w:rPr>
          <w:rFonts w:ascii="Arial" w:hAnsi="Arial" w:cs="Arial"/>
        </w:rPr>
        <w:t>echnique</w:t>
      </w:r>
      <w:r>
        <w:rPr>
          <w:rFonts w:ascii="Arial" w:hAnsi="Arial" w:cs="Arial"/>
        </w:rPr>
        <w:t xml:space="preserve"> check / advice</w:t>
      </w:r>
    </w:p>
    <w:p w:rsidR="00564394" w:rsidRDefault="007E2173" w:rsidP="008B6009">
      <w:pPr>
        <w:pStyle w:val="ListParagraph"/>
        <w:numPr>
          <w:ilvl w:val="0"/>
          <w:numId w:val="12"/>
        </w:numPr>
        <w:spacing w:line="276" w:lineRule="auto"/>
        <w:contextualSpacing w:val="0"/>
        <w:rPr>
          <w:rFonts w:ascii="Arial" w:hAnsi="Arial" w:cs="Arial"/>
        </w:rPr>
      </w:pPr>
      <w:r>
        <w:rPr>
          <w:rFonts w:ascii="Arial" w:hAnsi="Arial" w:cs="Arial"/>
        </w:rPr>
        <w:t>Compliance aid initiation including blister p</w:t>
      </w:r>
      <w:r w:rsidR="00564394" w:rsidRPr="00564394">
        <w:rPr>
          <w:rFonts w:ascii="Arial" w:hAnsi="Arial" w:cs="Arial"/>
        </w:rPr>
        <w:t>acks</w:t>
      </w:r>
    </w:p>
    <w:p w:rsidR="007E2173" w:rsidRPr="007E2173" w:rsidRDefault="007E2173" w:rsidP="008B6009">
      <w:pPr>
        <w:pStyle w:val="ListParagraph"/>
        <w:numPr>
          <w:ilvl w:val="0"/>
          <w:numId w:val="12"/>
        </w:numPr>
        <w:spacing w:line="276" w:lineRule="auto"/>
        <w:contextualSpacing w:val="0"/>
        <w:rPr>
          <w:rFonts w:ascii="Arial" w:hAnsi="Arial" w:cs="Arial"/>
        </w:rPr>
      </w:pPr>
      <w:r>
        <w:rPr>
          <w:rFonts w:ascii="Arial" w:hAnsi="Arial" w:cs="Arial"/>
        </w:rPr>
        <w:t>Patient e</w:t>
      </w:r>
      <w:r w:rsidRPr="00564394">
        <w:rPr>
          <w:rFonts w:ascii="Arial" w:hAnsi="Arial" w:cs="Arial"/>
        </w:rPr>
        <w:t>ducation</w:t>
      </w:r>
      <w:r>
        <w:rPr>
          <w:rFonts w:ascii="Arial" w:hAnsi="Arial" w:cs="Arial"/>
        </w:rPr>
        <w:t xml:space="preserve"> (eg understanding medical conditions, disease management, lifestyle advice)</w:t>
      </w:r>
    </w:p>
    <w:p w:rsidR="00564394" w:rsidRPr="00564394" w:rsidRDefault="007E2173" w:rsidP="008B6009">
      <w:pPr>
        <w:pStyle w:val="ListParagraph"/>
        <w:numPr>
          <w:ilvl w:val="0"/>
          <w:numId w:val="12"/>
        </w:numPr>
        <w:spacing w:line="276" w:lineRule="auto"/>
        <w:contextualSpacing w:val="0"/>
        <w:rPr>
          <w:rFonts w:ascii="Arial" w:hAnsi="Arial" w:cs="Arial"/>
        </w:rPr>
      </w:pPr>
      <w:r>
        <w:rPr>
          <w:rFonts w:ascii="Arial" w:hAnsi="Arial" w:cs="Arial"/>
        </w:rPr>
        <w:t>Waste m</w:t>
      </w:r>
      <w:r w:rsidR="00564394" w:rsidRPr="00564394">
        <w:rPr>
          <w:rFonts w:ascii="Arial" w:hAnsi="Arial" w:cs="Arial"/>
        </w:rPr>
        <w:t>edication</w:t>
      </w:r>
    </w:p>
    <w:p w:rsidR="00564394" w:rsidRPr="00564394" w:rsidRDefault="007E2173" w:rsidP="008B6009">
      <w:pPr>
        <w:pStyle w:val="ListParagraph"/>
        <w:numPr>
          <w:ilvl w:val="0"/>
          <w:numId w:val="12"/>
        </w:numPr>
        <w:spacing w:line="276" w:lineRule="auto"/>
        <w:contextualSpacing w:val="0"/>
        <w:rPr>
          <w:rFonts w:ascii="Arial" w:hAnsi="Arial" w:cs="Arial"/>
        </w:rPr>
      </w:pPr>
      <w:r>
        <w:rPr>
          <w:rFonts w:ascii="Arial" w:hAnsi="Arial" w:cs="Arial"/>
        </w:rPr>
        <w:t>Controlled Drug i</w:t>
      </w:r>
      <w:r w:rsidR="00564394" w:rsidRPr="00564394">
        <w:rPr>
          <w:rFonts w:ascii="Arial" w:hAnsi="Arial" w:cs="Arial"/>
        </w:rPr>
        <w:t>ssues</w:t>
      </w:r>
    </w:p>
    <w:p w:rsidR="00564394" w:rsidRPr="00564394" w:rsidRDefault="00564394" w:rsidP="008B6009">
      <w:pPr>
        <w:pStyle w:val="ListParagraph"/>
        <w:numPr>
          <w:ilvl w:val="0"/>
          <w:numId w:val="12"/>
        </w:numPr>
        <w:spacing w:line="276" w:lineRule="auto"/>
        <w:contextualSpacing w:val="0"/>
        <w:rPr>
          <w:rFonts w:ascii="Arial" w:hAnsi="Arial" w:cs="Arial"/>
        </w:rPr>
      </w:pPr>
      <w:r w:rsidRPr="00564394">
        <w:rPr>
          <w:rFonts w:ascii="Arial" w:hAnsi="Arial" w:cs="Arial"/>
        </w:rPr>
        <w:t>Critical</w:t>
      </w:r>
      <w:r w:rsidR="007E2173">
        <w:rPr>
          <w:rFonts w:ascii="Arial" w:hAnsi="Arial" w:cs="Arial"/>
        </w:rPr>
        <w:t xml:space="preserve"> i</w:t>
      </w:r>
      <w:r w:rsidRPr="00564394">
        <w:rPr>
          <w:rFonts w:ascii="Arial" w:hAnsi="Arial" w:cs="Arial"/>
        </w:rPr>
        <w:t>ncidents</w:t>
      </w:r>
    </w:p>
    <w:p w:rsidR="00564394" w:rsidRPr="00564394" w:rsidRDefault="00564394" w:rsidP="008B6009">
      <w:pPr>
        <w:pStyle w:val="ListParagraph"/>
        <w:numPr>
          <w:ilvl w:val="0"/>
          <w:numId w:val="12"/>
        </w:numPr>
        <w:spacing w:line="276" w:lineRule="auto"/>
        <w:contextualSpacing w:val="0"/>
        <w:rPr>
          <w:rFonts w:ascii="Arial" w:hAnsi="Arial" w:cs="Arial"/>
        </w:rPr>
      </w:pPr>
      <w:r w:rsidRPr="00564394">
        <w:rPr>
          <w:rFonts w:ascii="Arial" w:hAnsi="Arial" w:cs="Arial"/>
        </w:rPr>
        <w:lastRenderedPageBreak/>
        <w:t>Signposting</w:t>
      </w:r>
      <w:r w:rsidR="007E2173">
        <w:rPr>
          <w:rFonts w:ascii="Arial" w:hAnsi="Arial" w:cs="Arial"/>
        </w:rPr>
        <w:t xml:space="preserve"> to other members of VW MDT</w:t>
      </w:r>
    </w:p>
    <w:p w:rsidR="00DC26BB" w:rsidRDefault="007E2173" w:rsidP="008B6009">
      <w:pPr>
        <w:pStyle w:val="ListParagraph"/>
        <w:numPr>
          <w:ilvl w:val="0"/>
          <w:numId w:val="12"/>
        </w:numPr>
        <w:spacing w:line="276" w:lineRule="auto"/>
        <w:contextualSpacing w:val="0"/>
        <w:jc w:val="both"/>
        <w:rPr>
          <w:rFonts w:ascii="Arial" w:hAnsi="Arial" w:cs="Arial"/>
        </w:rPr>
      </w:pPr>
      <w:r>
        <w:rPr>
          <w:rFonts w:ascii="Arial" w:hAnsi="Arial" w:cs="Arial"/>
        </w:rPr>
        <w:t>Hospital admission a</w:t>
      </w:r>
      <w:r w:rsidR="00564394" w:rsidRPr="00DC26BB">
        <w:rPr>
          <w:rFonts w:ascii="Arial" w:hAnsi="Arial" w:cs="Arial"/>
        </w:rPr>
        <w:t>voidance</w:t>
      </w:r>
    </w:p>
    <w:p w:rsidR="00DC26BB" w:rsidRPr="00DC26BB" w:rsidRDefault="00DC26BB" w:rsidP="008B6009">
      <w:pPr>
        <w:pStyle w:val="ListParagraph"/>
        <w:spacing w:line="276" w:lineRule="auto"/>
        <w:contextualSpacing w:val="0"/>
        <w:jc w:val="both"/>
        <w:rPr>
          <w:rFonts w:ascii="Arial" w:hAnsi="Arial" w:cs="Arial"/>
        </w:rPr>
      </w:pPr>
    </w:p>
    <w:p w:rsidR="00E53F1D" w:rsidRDefault="00564394" w:rsidP="008B6009">
      <w:pPr>
        <w:autoSpaceDE w:val="0"/>
        <w:autoSpaceDN w:val="0"/>
        <w:adjustRightInd w:val="0"/>
        <w:rPr>
          <w:rFonts w:ascii="Arial" w:hAnsi="Arial" w:cs="Arial"/>
          <w:sz w:val="24"/>
        </w:rPr>
      </w:pPr>
      <w:r w:rsidRPr="00031CC4">
        <w:rPr>
          <w:rFonts w:ascii="Arial" w:hAnsi="Arial" w:cs="Arial"/>
          <w:sz w:val="24"/>
          <w:szCs w:val="24"/>
        </w:rPr>
        <w:t xml:space="preserve">To assess </w:t>
      </w:r>
      <w:r w:rsidRPr="00031CC4">
        <w:rPr>
          <w:rFonts w:ascii="Arial" w:hAnsi="Arial" w:cs="Arial"/>
          <w:sz w:val="24"/>
        </w:rPr>
        <w:t>the potential clinical impact of interventions made</w:t>
      </w:r>
      <w:r w:rsidR="00031CC4" w:rsidRPr="00031CC4">
        <w:rPr>
          <w:rFonts w:ascii="Arial" w:hAnsi="Arial" w:cs="Arial"/>
          <w:sz w:val="24"/>
        </w:rPr>
        <w:t xml:space="preserve"> during the project all interventions were collated</w:t>
      </w:r>
      <w:r w:rsidR="00F83F8E">
        <w:rPr>
          <w:rFonts w:ascii="Arial" w:hAnsi="Arial" w:cs="Arial"/>
          <w:sz w:val="24"/>
        </w:rPr>
        <w:t xml:space="preserve"> and reviewed by a panel of 2 CCG pharmacists, 2 hospital pharmacists, 2 hospital doctors and 2 GPs. </w:t>
      </w:r>
      <w:r w:rsidR="00031CC4" w:rsidRPr="00031CC4">
        <w:rPr>
          <w:rFonts w:ascii="Arial" w:hAnsi="Arial" w:cs="Arial"/>
          <w:sz w:val="24"/>
        </w:rPr>
        <w:t xml:space="preserve"> </w:t>
      </w:r>
      <w:r w:rsidR="00DF1D79">
        <w:rPr>
          <w:rFonts w:ascii="Arial" w:hAnsi="Arial" w:cs="Arial"/>
          <w:sz w:val="24"/>
        </w:rPr>
        <w:t xml:space="preserve">Twenty interventions were circulated to the panel by email and </w:t>
      </w:r>
      <w:r w:rsidRPr="00031CC4">
        <w:rPr>
          <w:rFonts w:ascii="Arial" w:hAnsi="Arial" w:cs="Arial"/>
          <w:sz w:val="24"/>
        </w:rPr>
        <w:t>Delphi methodology used to arrive at consensus.</w:t>
      </w:r>
      <w:r w:rsidR="00E53F1D">
        <w:rPr>
          <w:rFonts w:ascii="Arial" w:hAnsi="Arial" w:cs="Arial"/>
          <w:sz w:val="24"/>
        </w:rPr>
        <w:t xml:space="preserve">  </w:t>
      </w:r>
      <w:r w:rsidR="00E53F1D" w:rsidRPr="00031CC4">
        <w:rPr>
          <w:rFonts w:ascii="Arial" w:hAnsi="Arial" w:cs="Arial"/>
          <w:sz w:val="24"/>
        </w:rPr>
        <w:t xml:space="preserve">The Delphi </w:t>
      </w:r>
      <w:r w:rsidR="00E53F1D">
        <w:rPr>
          <w:rFonts w:ascii="Arial" w:hAnsi="Arial" w:cs="Arial"/>
          <w:sz w:val="24"/>
        </w:rPr>
        <w:t xml:space="preserve">process </w:t>
      </w:r>
      <w:r w:rsidR="00E53F1D" w:rsidRPr="00031CC4">
        <w:rPr>
          <w:rFonts w:ascii="Arial" w:hAnsi="Arial" w:cs="Arial"/>
          <w:sz w:val="24"/>
        </w:rPr>
        <w:t>is a group judgement technique</w:t>
      </w:r>
      <w:r w:rsidR="00E53F1D">
        <w:rPr>
          <w:rFonts w:ascii="Arial" w:hAnsi="Arial" w:cs="Arial"/>
          <w:sz w:val="24"/>
        </w:rPr>
        <w:t xml:space="preserve"> in which</w:t>
      </w:r>
      <w:r w:rsidR="00E53F1D" w:rsidRPr="00B17AA2">
        <w:rPr>
          <w:rFonts w:ascii="Arial" w:hAnsi="Arial" w:cs="Arial"/>
          <w:sz w:val="24"/>
        </w:rPr>
        <w:t xml:space="preserve"> contributors individually respond to survey questions and submit the results to a central coordinator</w:t>
      </w:r>
      <w:r w:rsidR="00E53F1D">
        <w:rPr>
          <w:rFonts w:ascii="Arial" w:hAnsi="Arial" w:cs="Arial"/>
          <w:sz w:val="24"/>
        </w:rPr>
        <w:t xml:space="preserve"> </w:t>
      </w:r>
      <w:r w:rsidR="00E53F1D" w:rsidRPr="00031CC4">
        <w:rPr>
          <w:rFonts w:ascii="Arial" w:hAnsi="Arial" w:cs="Arial"/>
          <w:sz w:val="24"/>
        </w:rPr>
        <w:t>[</w:t>
      </w:r>
      <w:r w:rsidR="00E53F1D">
        <w:rPr>
          <w:rFonts w:ascii="Arial" w:hAnsi="Arial" w:cs="Arial"/>
          <w:sz w:val="24"/>
        </w:rPr>
        <w:t>21</w:t>
      </w:r>
      <w:r w:rsidR="00E53F1D" w:rsidRPr="00B17AA2">
        <w:rPr>
          <w:rFonts w:ascii="Arial" w:hAnsi="Arial" w:cs="Arial"/>
          <w:sz w:val="24"/>
        </w:rPr>
        <w:t>].</w:t>
      </w:r>
      <w:r w:rsidR="00E53F1D">
        <w:rPr>
          <w:rFonts w:ascii="Arial" w:hAnsi="Arial" w:cs="Arial"/>
          <w:sz w:val="24"/>
        </w:rPr>
        <w:t xml:space="preserve"> </w:t>
      </w:r>
      <w:r w:rsidR="00E53F1D" w:rsidRPr="00B17AA2">
        <w:rPr>
          <w:rFonts w:ascii="Arial" w:hAnsi="Arial" w:cs="Arial"/>
          <w:sz w:val="24"/>
        </w:rPr>
        <w:t xml:space="preserve"> The coordinator processes the contributions</w:t>
      </w:r>
      <w:r w:rsidR="00E53F1D">
        <w:rPr>
          <w:rFonts w:ascii="Arial" w:hAnsi="Arial" w:cs="Arial"/>
          <w:sz w:val="24"/>
        </w:rPr>
        <w:t xml:space="preserve"> and</w:t>
      </w:r>
      <w:r w:rsidR="00E53F1D" w:rsidRPr="00B17AA2">
        <w:rPr>
          <w:rFonts w:ascii="Arial" w:hAnsi="Arial" w:cs="Arial"/>
          <w:sz w:val="24"/>
        </w:rPr>
        <w:t xml:space="preserve"> results are then fed back to the respondents. The respondents are then asked to resubmit their views, assisted by the input provided by the coordinator. </w:t>
      </w:r>
      <w:r w:rsidR="00E53F1D">
        <w:rPr>
          <w:rFonts w:ascii="Arial" w:hAnsi="Arial" w:cs="Arial"/>
          <w:sz w:val="24"/>
        </w:rPr>
        <w:t xml:space="preserve"> </w:t>
      </w:r>
      <w:r w:rsidR="00E53F1D" w:rsidRPr="00B17AA2">
        <w:rPr>
          <w:rFonts w:ascii="Arial" w:hAnsi="Arial" w:cs="Arial"/>
          <w:sz w:val="24"/>
        </w:rPr>
        <w:t>This process continues until the coordinator sees that a consensus has formed</w:t>
      </w:r>
      <w:r w:rsidR="00E53F1D">
        <w:rPr>
          <w:rFonts w:ascii="Arial" w:hAnsi="Arial" w:cs="Arial"/>
          <w:sz w:val="24"/>
        </w:rPr>
        <w:t xml:space="preserve">.  </w:t>
      </w:r>
    </w:p>
    <w:p w:rsidR="00564394" w:rsidRDefault="00E53F1D" w:rsidP="008B6009">
      <w:pPr>
        <w:autoSpaceDE w:val="0"/>
        <w:autoSpaceDN w:val="0"/>
        <w:adjustRightInd w:val="0"/>
        <w:rPr>
          <w:rFonts w:ascii="Arial" w:hAnsi="Arial" w:cs="Arial"/>
          <w:sz w:val="24"/>
        </w:rPr>
      </w:pPr>
      <w:r>
        <w:rPr>
          <w:rFonts w:ascii="Arial" w:hAnsi="Arial" w:cs="Arial"/>
          <w:sz w:val="24"/>
        </w:rPr>
        <w:t>For the purposes of this evaluation, c</w:t>
      </w:r>
      <w:r w:rsidRPr="00031CC4">
        <w:rPr>
          <w:rFonts w:ascii="Arial" w:hAnsi="Arial" w:cs="Arial"/>
          <w:sz w:val="24"/>
        </w:rPr>
        <w:t xml:space="preserve">onsensus was defined as 75% agreement between participants’ scores </w:t>
      </w:r>
      <w:r>
        <w:rPr>
          <w:rFonts w:ascii="Arial" w:hAnsi="Arial" w:cs="Arial"/>
          <w:sz w:val="24"/>
        </w:rPr>
        <w:t>[22]</w:t>
      </w:r>
      <w:r w:rsidRPr="00031CC4">
        <w:rPr>
          <w:rFonts w:ascii="Arial" w:hAnsi="Arial" w:cs="Arial"/>
          <w:sz w:val="24"/>
        </w:rPr>
        <w:t>.</w:t>
      </w:r>
      <w:r>
        <w:rPr>
          <w:rFonts w:ascii="Arial" w:hAnsi="Arial" w:cs="Arial"/>
          <w:sz w:val="24"/>
          <w:vertAlign w:val="superscript"/>
        </w:rPr>
        <w:t xml:space="preserve"> </w:t>
      </w:r>
      <w:r w:rsidRPr="00031CC4">
        <w:rPr>
          <w:rFonts w:ascii="Arial" w:hAnsi="Arial" w:cs="Arial"/>
          <w:sz w:val="24"/>
        </w:rPr>
        <w:t xml:space="preserve"> In addition, consensus can also be achieved when stability of the distribution of scores occurs</w:t>
      </w:r>
      <w:r>
        <w:rPr>
          <w:rFonts w:ascii="Arial" w:hAnsi="Arial" w:cs="Arial"/>
          <w:sz w:val="24"/>
        </w:rPr>
        <w:t>; for example if</w:t>
      </w:r>
      <w:r w:rsidRPr="00031CC4">
        <w:rPr>
          <w:rFonts w:ascii="Arial" w:hAnsi="Arial" w:cs="Arial"/>
          <w:sz w:val="24"/>
        </w:rPr>
        <w:t xml:space="preserve"> variation between rounds is less than 15%, a state of stability is said to exist</w:t>
      </w:r>
      <w:r>
        <w:rPr>
          <w:rFonts w:ascii="Arial" w:hAnsi="Arial" w:cs="Arial"/>
          <w:sz w:val="24"/>
        </w:rPr>
        <w:t xml:space="preserve"> [21,23,24]</w:t>
      </w:r>
      <w:r w:rsidRPr="00031CC4">
        <w:rPr>
          <w:rFonts w:ascii="Arial" w:hAnsi="Arial" w:cs="Arial"/>
          <w:sz w:val="24"/>
        </w:rPr>
        <w:t>.</w:t>
      </w:r>
      <w:r>
        <w:rPr>
          <w:rFonts w:ascii="Arial" w:hAnsi="Arial" w:cs="Arial"/>
          <w:sz w:val="24"/>
        </w:rPr>
        <w:t xml:space="preserve">  </w:t>
      </w:r>
      <w:r w:rsidR="007E2173">
        <w:rPr>
          <w:rFonts w:ascii="Arial" w:hAnsi="Arial" w:cs="Arial"/>
          <w:sz w:val="24"/>
        </w:rPr>
        <w:t xml:space="preserve">This process resulted in </w:t>
      </w:r>
      <w:r w:rsidR="007E2173" w:rsidRPr="00031CC4">
        <w:rPr>
          <w:rFonts w:ascii="Arial" w:hAnsi="Arial" w:cs="Arial"/>
          <w:sz w:val="24"/>
        </w:rPr>
        <w:t xml:space="preserve">each intervention </w:t>
      </w:r>
      <w:r w:rsidR="007E2173">
        <w:rPr>
          <w:rFonts w:ascii="Arial" w:hAnsi="Arial" w:cs="Arial"/>
          <w:sz w:val="24"/>
        </w:rPr>
        <w:t xml:space="preserve">being assigned </w:t>
      </w:r>
      <w:r w:rsidR="007E2173" w:rsidRPr="00031CC4">
        <w:rPr>
          <w:rFonts w:ascii="Arial" w:hAnsi="Arial" w:cs="Arial"/>
          <w:sz w:val="24"/>
        </w:rPr>
        <w:t>a value according to the Eadon</w:t>
      </w:r>
      <w:r>
        <w:rPr>
          <w:rFonts w:ascii="Arial" w:hAnsi="Arial" w:cs="Arial"/>
          <w:sz w:val="24"/>
        </w:rPr>
        <w:t>-ScHARR</w:t>
      </w:r>
      <w:r w:rsidR="007E2173" w:rsidRPr="00031CC4">
        <w:rPr>
          <w:rFonts w:ascii="Arial" w:hAnsi="Arial" w:cs="Arial"/>
          <w:sz w:val="24"/>
        </w:rPr>
        <w:t xml:space="preserve"> scoring criteria (Table 1)</w:t>
      </w:r>
      <w:r>
        <w:rPr>
          <w:rFonts w:ascii="Arial" w:hAnsi="Arial" w:cs="Arial"/>
          <w:sz w:val="24"/>
        </w:rPr>
        <w:t xml:space="preserve"> [25,26]</w:t>
      </w:r>
      <w:r w:rsidR="007E2173" w:rsidRPr="00031CC4">
        <w:rPr>
          <w:rFonts w:ascii="Arial" w:hAnsi="Arial" w:cs="Arial"/>
          <w:sz w:val="24"/>
        </w:rPr>
        <w:t>.</w:t>
      </w:r>
    </w:p>
    <w:p w:rsidR="00F67810" w:rsidRPr="00AB1072" w:rsidRDefault="00F67810" w:rsidP="00F67810">
      <w:pPr>
        <w:autoSpaceDE w:val="0"/>
        <w:autoSpaceDN w:val="0"/>
        <w:adjustRightInd w:val="0"/>
        <w:spacing w:after="0" w:line="240" w:lineRule="auto"/>
        <w:rPr>
          <w:rFonts w:ascii="Arial" w:hAnsi="Arial" w:cs="Arial"/>
          <w:b/>
        </w:rPr>
      </w:pPr>
      <w:r w:rsidRPr="00AB1072">
        <w:rPr>
          <w:rFonts w:ascii="Arial" w:hAnsi="Arial" w:cs="Arial"/>
          <w:b/>
          <w:bCs/>
        </w:rPr>
        <w:t>Table 1: Eadon Scoring System</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434"/>
        <w:gridCol w:w="1799"/>
        <w:gridCol w:w="1729"/>
      </w:tblGrid>
      <w:tr w:rsidR="00F67810" w:rsidRPr="00AB1072" w:rsidTr="00483552">
        <w:tc>
          <w:tcPr>
            <w:tcW w:w="6434" w:type="dxa"/>
            <w:shd w:val="clear" w:color="auto" w:fill="auto"/>
          </w:tcPr>
          <w:p w:rsidR="00F67810" w:rsidRPr="00AB1072" w:rsidRDefault="00F67810" w:rsidP="00483552">
            <w:pPr>
              <w:rPr>
                <w:rFonts w:ascii="Arial" w:hAnsi="Arial" w:cs="Arial"/>
                <w:b/>
                <w:bCs/>
              </w:rPr>
            </w:pPr>
            <w:r w:rsidRPr="00AB1072">
              <w:rPr>
                <w:rFonts w:ascii="Arial" w:hAnsi="Arial" w:cs="Arial"/>
                <w:b/>
                <w:bCs/>
              </w:rPr>
              <w:t>Intervention type</w:t>
            </w:r>
          </w:p>
        </w:tc>
        <w:tc>
          <w:tcPr>
            <w:tcW w:w="1799" w:type="dxa"/>
            <w:shd w:val="clear" w:color="auto" w:fill="auto"/>
          </w:tcPr>
          <w:p w:rsidR="00F67810" w:rsidRPr="00AB1072" w:rsidRDefault="00F67810" w:rsidP="00483552">
            <w:pPr>
              <w:autoSpaceDE w:val="0"/>
              <w:autoSpaceDN w:val="0"/>
              <w:adjustRightInd w:val="0"/>
              <w:rPr>
                <w:rFonts w:ascii="Arial" w:hAnsi="Arial" w:cs="Arial"/>
              </w:rPr>
            </w:pPr>
            <w:r w:rsidRPr="00AB1072">
              <w:rPr>
                <w:rFonts w:ascii="Arial" w:hAnsi="Arial" w:cs="Arial"/>
                <w:b/>
                <w:bCs/>
              </w:rPr>
              <w:t>Score</w:t>
            </w:r>
          </w:p>
        </w:tc>
        <w:tc>
          <w:tcPr>
            <w:tcW w:w="1729" w:type="dxa"/>
          </w:tcPr>
          <w:p w:rsidR="00F67810" w:rsidRPr="000F7B95" w:rsidRDefault="00F67810" w:rsidP="00483552">
            <w:pPr>
              <w:autoSpaceDE w:val="0"/>
              <w:autoSpaceDN w:val="0"/>
              <w:adjustRightInd w:val="0"/>
              <w:rPr>
                <w:rFonts w:ascii="Arial" w:hAnsi="Arial" w:cs="Arial"/>
                <w:b/>
              </w:rPr>
            </w:pPr>
            <w:r w:rsidRPr="000F7B95">
              <w:rPr>
                <w:rFonts w:ascii="Arial" w:hAnsi="Arial" w:cs="Arial"/>
                <w:b/>
              </w:rPr>
              <w:t>ScHARR Cost Avoidance (£)</w:t>
            </w:r>
          </w:p>
        </w:tc>
      </w:tr>
      <w:tr w:rsidR="00F67810" w:rsidRPr="00AB1072" w:rsidTr="00483552">
        <w:tc>
          <w:tcPr>
            <w:tcW w:w="6434" w:type="dxa"/>
          </w:tcPr>
          <w:p w:rsidR="00F67810" w:rsidRPr="00AB1072" w:rsidRDefault="00F67810" w:rsidP="00483552">
            <w:pPr>
              <w:rPr>
                <w:rFonts w:ascii="Arial" w:hAnsi="Arial" w:cs="Arial"/>
                <w:bCs/>
              </w:rPr>
            </w:pPr>
            <w:r w:rsidRPr="00AB1072">
              <w:rPr>
                <w:rFonts w:ascii="Arial" w:hAnsi="Arial" w:cs="Arial"/>
                <w:bCs/>
              </w:rPr>
              <w:t>Intervention which is detrimental to the patients well-being</w:t>
            </w:r>
          </w:p>
        </w:tc>
        <w:tc>
          <w:tcPr>
            <w:tcW w:w="1799" w:type="dxa"/>
          </w:tcPr>
          <w:p w:rsidR="00F67810" w:rsidRPr="00AB1072" w:rsidRDefault="00F67810" w:rsidP="00483552">
            <w:pPr>
              <w:rPr>
                <w:rFonts w:ascii="Arial" w:hAnsi="Arial" w:cs="Arial"/>
                <w:bCs/>
              </w:rPr>
            </w:pPr>
            <w:r w:rsidRPr="00AB1072">
              <w:rPr>
                <w:rFonts w:ascii="Arial" w:hAnsi="Arial" w:cs="Arial"/>
                <w:bCs/>
              </w:rPr>
              <w:t>1</w:t>
            </w:r>
          </w:p>
        </w:tc>
        <w:tc>
          <w:tcPr>
            <w:tcW w:w="1729" w:type="dxa"/>
          </w:tcPr>
          <w:p w:rsidR="00F67810" w:rsidRPr="000F7B95" w:rsidRDefault="00F67810" w:rsidP="00483552">
            <w:pPr>
              <w:autoSpaceDE w:val="0"/>
              <w:autoSpaceDN w:val="0"/>
              <w:adjustRightInd w:val="0"/>
              <w:rPr>
                <w:rFonts w:ascii="Arial" w:hAnsi="Arial" w:cs="Arial"/>
              </w:rPr>
            </w:pPr>
            <w:r>
              <w:rPr>
                <w:rFonts w:ascii="Arial" w:hAnsi="Arial" w:cs="Arial"/>
              </w:rPr>
              <w:t>0</w:t>
            </w:r>
          </w:p>
        </w:tc>
      </w:tr>
      <w:tr w:rsidR="00F67810" w:rsidRPr="00AB1072" w:rsidTr="00483552">
        <w:tc>
          <w:tcPr>
            <w:tcW w:w="6434" w:type="dxa"/>
          </w:tcPr>
          <w:p w:rsidR="00F67810" w:rsidRPr="00AB1072" w:rsidRDefault="00F67810" w:rsidP="00483552">
            <w:pPr>
              <w:rPr>
                <w:rFonts w:ascii="Arial" w:hAnsi="Arial" w:cs="Arial"/>
                <w:bCs/>
              </w:rPr>
            </w:pPr>
            <w:r w:rsidRPr="00AB1072">
              <w:rPr>
                <w:rFonts w:ascii="Arial" w:hAnsi="Arial" w:cs="Arial"/>
                <w:bCs/>
              </w:rPr>
              <w:t>Intervention is of no significance to patient care</w:t>
            </w:r>
          </w:p>
        </w:tc>
        <w:tc>
          <w:tcPr>
            <w:tcW w:w="1799" w:type="dxa"/>
          </w:tcPr>
          <w:p w:rsidR="00F67810" w:rsidRPr="00AB1072" w:rsidRDefault="00F67810" w:rsidP="00483552">
            <w:pPr>
              <w:rPr>
                <w:rFonts w:ascii="Arial" w:hAnsi="Arial" w:cs="Arial"/>
                <w:bCs/>
              </w:rPr>
            </w:pPr>
            <w:r w:rsidRPr="00AB1072">
              <w:rPr>
                <w:rFonts w:ascii="Arial" w:hAnsi="Arial" w:cs="Arial"/>
                <w:bCs/>
              </w:rPr>
              <w:t>2</w:t>
            </w:r>
          </w:p>
        </w:tc>
        <w:tc>
          <w:tcPr>
            <w:tcW w:w="1729" w:type="dxa"/>
          </w:tcPr>
          <w:p w:rsidR="00F67810" w:rsidRPr="000F7B95" w:rsidRDefault="00F67810" w:rsidP="00483552">
            <w:pPr>
              <w:autoSpaceDE w:val="0"/>
              <w:autoSpaceDN w:val="0"/>
              <w:adjustRightInd w:val="0"/>
              <w:rPr>
                <w:rFonts w:ascii="Arial" w:hAnsi="Arial" w:cs="Arial"/>
              </w:rPr>
            </w:pPr>
            <w:r>
              <w:rPr>
                <w:rFonts w:ascii="Arial" w:hAnsi="Arial" w:cs="Arial"/>
              </w:rPr>
              <w:t>0</w:t>
            </w:r>
          </w:p>
        </w:tc>
      </w:tr>
      <w:tr w:rsidR="00F67810" w:rsidRPr="00AB1072" w:rsidTr="00483552">
        <w:tc>
          <w:tcPr>
            <w:tcW w:w="6434" w:type="dxa"/>
          </w:tcPr>
          <w:p w:rsidR="00F67810" w:rsidRPr="00AB1072" w:rsidRDefault="00F67810" w:rsidP="00483552">
            <w:pPr>
              <w:rPr>
                <w:rFonts w:ascii="Arial" w:hAnsi="Arial" w:cs="Arial"/>
                <w:bCs/>
              </w:rPr>
            </w:pPr>
            <w:r w:rsidRPr="00AB1072">
              <w:rPr>
                <w:rFonts w:ascii="Arial" w:hAnsi="Arial" w:cs="Arial"/>
                <w:bCs/>
              </w:rPr>
              <w:t>Intervention is significant but does not lead to an improvement in patient care</w:t>
            </w:r>
          </w:p>
        </w:tc>
        <w:tc>
          <w:tcPr>
            <w:tcW w:w="1799" w:type="dxa"/>
          </w:tcPr>
          <w:p w:rsidR="00F67810" w:rsidRPr="00AB1072" w:rsidRDefault="00F67810" w:rsidP="00483552">
            <w:pPr>
              <w:rPr>
                <w:rFonts w:ascii="Arial" w:hAnsi="Arial" w:cs="Arial"/>
                <w:bCs/>
              </w:rPr>
            </w:pPr>
            <w:r w:rsidRPr="00AB1072">
              <w:rPr>
                <w:rFonts w:ascii="Arial" w:hAnsi="Arial" w:cs="Arial"/>
                <w:bCs/>
              </w:rPr>
              <w:t>3</w:t>
            </w:r>
          </w:p>
        </w:tc>
        <w:tc>
          <w:tcPr>
            <w:tcW w:w="1729" w:type="dxa"/>
          </w:tcPr>
          <w:p w:rsidR="00F67810" w:rsidRPr="000F7B95" w:rsidRDefault="00F67810" w:rsidP="00483552">
            <w:pPr>
              <w:autoSpaceDE w:val="0"/>
              <w:autoSpaceDN w:val="0"/>
              <w:adjustRightInd w:val="0"/>
              <w:rPr>
                <w:rFonts w:ascii="Arial" w:hAnsi="Arial" w:cs="Arial"/>
              </w:rPr>
            </w:pPr>
            <w:r w:rsidRPr="000F7B95">
              <w:rPr>
                <w:rFonts w:ascii="Arial" w:hAnsi="Arial" w:cs="Arial"/>
              </w:rPr>
              <w:t>0-6</w:t>
            </w:r>
          </w:p>
        </w:tc>
      </w:tr>
      <w:tr w:rsidR="00F67810" w:rsidRPr="00AB1072" w:rsidTr="00483552">
        <w:tc>
          <w:tcPr>
            <w:tcW w:w="6434" w:type="dxa"/>
          </w:tcPr>
          <w:p w:rsidR="00F67810" w:rsidRPr="00AB1072" w:rsidRDefault="00F67810" w:rsidP="00483552">
            <w:pPr>
              <w:rPr>
                <w:rFonts w:ascii="Arial" w:hAnsi="Arial" w:cs="Arial"/>
                <w:bCs/>
              </w:rPr>
            </w:pPr>
            <w:r w:rsidRPr="00AB1072">
              <w:rPr>
                <w:rFonts w:ascii="Arial" w:hAnsi="Arial" w:cs="Arial"/>
                <w:bCs/>
              </w:rPr>
              <w:t xml:space="preserve">Intervention is significant and results in an improvement in the standard </w:t>
            </w:r>
            <w:r w:rsidRPr="00AB1072">
              <w:rPr>
                <w:rFonts w:ascii="Arial" w:hAnsi="Arial" w:cs="Arial"/>
              </w:rPr>
              <w:t xml:space="preserve">of </w:t>
            </w:r>
            <w:r w:rsidRPr="00AB1072">
              <w:rPr>
                <w:rFonts w:ascii="Arial" w:hAnsi="Arial" w:cs="Arial"/>
                <w:bCs/>
              </w:rPr>
              <w:t>care</w:t>
            </w:r>
          </w:p>
        </w:tc>
        <w:tc>
          <w:tcPr>
            <w:tcW w:w="1799" w:type="dxa"/>
          </w:tcPr>
          <w:p w:rsidR="00F67810" w:rsidRPr="00AB1072" w:rsidRDefault="00F67810" w:rsidP="00483552">
            <w:pPr>
              <w:rPr>
                <w:rFonts w:ascii="Arial" w:hAnsi="Arial" w:cs="Arial"/>
                <w:bCs/>
              </w:rPr>
            </w:pPr>
            <w:r w:rsidRPr="00AB1072">
              <w:rPr>
                <w:rFonts w:ascii="Arial" w:hAnsi="Arial" w:cs="Arial"/>
                <w:bCs/>
              </w:rPr>
              <w:t>4</w:t>
            </w:r>
          </w:p>
        </w:tc>
        <w:tc>
          <w:tcPr>
            <w:tcW w:w="1729" w:type="dxa"/>
          </w:tcPr>
          <w:p w:rsidR="00F67810" w:rsidRPr="000F7B95" w:rsidRDefault="00F67810" w:rsidP="00483552">
            <w:pPr>
              <w:autoSpaceDE w:val="0"/>
              <w:autoSpaceDN w:val="0"/>
              <w:adjustRightInd w:val="0"/>
              <w:rPr>
                <w:rFonts w:ascii="Arial" w:hAnsi="Arial" w:cs="Arial"/>
              </w:rPr>
            </w:pPr>
            <w:r w:rsidRPr="000F7B95">
              <w:rPr>
                <w:rFonts w:ascii="Arial" w:hAnsi="Arial" w:cs="Arial"/>
              </w:rPr>
              <w:t>65-150</w:t>
            </w:r>
          </w:p>
        </w:tc>
      </w:tr>
      <w:tr w:rsidR="00F67810" w:rsidRPr="00AB1072" w:rsidTr="00483552">
        <w:tc>
          <w:tcPr>
            <w:tcW w:w="6434" w:type="dxa"/>
          </w:tcPr>
          <w:p w:rsidR="00F67810" w:rsidRPr="00AB1072" w:rsidRDefault="00F67810" w:rsidP="00483552">
            <w:pPr>
              <w:rPr>
                <w:rFonts w:ascii="Arial" w:hAnsi="Arial" w:cs="Arial"/>
                <w:bCs/>
              </w:rPr>
            </w:pPr>
            <w:r w:rsidRPr="00AB1072">
              <w:rPr>
                <w:rFonts w:ascii="Arial" w:hAnsi="Arial" w:cs="Arial"/>
                <w:bCs/>
              </w:rPr>
              <w:t>Intervention is very significant and prevents a major organ failure or adverse reaction of similar importance</w:t>
            </w:r>
          </w:p>
        </w:tc>
        <w:tc>
          <w:tcPr>
            <w:tcW w:w="1799" w:type="dxa"/>
          </w:tcPr>
          <w:p w:rsidR="00F67810" w:rsidRPr="00AB1072" w:rsidRDefault="00F67810" w:rsidP="00483552">
            <w:pPr>
              <w:rPr>
                <w:rFonts w:ascii="Arial" w:hAnsi="Arial" w:cs="Arial"/>
                <w:bCs/>
              </w:rPr>
            </w:pPr>
            <w:r w:rsidRPr="00AB1072">
              <w:rPr>
                <w:rFonts w:ascii="Arial" w:hAnsi="Arial" w:cs="Arial"/>
                <w:bCs/>
              </w:rPr>
              <w:t>5</w:t>
            </w:r>
          </w:p>
        </w:tc>
        <w:tc>
          <w:tcPr>
            <w:tcW w:w="1729" w:type="dxa"/>
          </w:tcPr>
          <w:p w:rsidR="00F67810" w:rsidRPr="000F7B95" w:rsidRDefault="00F67810" w:rsidP="00483552">
            <w:pPr>
              <w:autoSpaceDE w:val="0"/>
              <w:autoSpaceDN w:val="0"/>
              <w:adjustRightInd w:val="0"/>
              <w:rPr>
                <w:rFonts w:ascii="Arial" w:hAnsi="Arial" w:cs="Arial"/>
              </w:rPr>
            </w:pPr>
            <w:r w:rsidRPr="000F7B95">
              <w:rPr>
                <w:rFonts w:ascii="Arial" w:hAnsi="Arial" w:cs="Arial"/>
              </w:rPr>
              <w:t>713-1484</w:t>
            </w:r>
          </w:p>
        </w:tc>
      </w:tr>
      <w:tr w:rsidR="00F67810" w:rsidRPr="00AB1072" w:rsidTr="00483552">
        <w:tc>
          <w:tcPr>
            <w:tcW w:w="6434" w:type="dxa"/>
          </w:tcPr>
          <w:p w:rsidR="00F67810" w:rsidRPr="00AB1072" w:rsidRDefault="00F67810" w:rsidP="00483552">
            <w:pPr>
              <w:rPr>
                <w:rFonts w:ascii="Arial" w:hAnsi="Arial" w:cs="Arial"/>
                <w:bCs/>
              </w:rPr>
            </w:pPr>
            <w:r w:rsidRPr="00AB1072">
              <w:rPr>
                <w:rFonts w:ascii="Arial" w:hAnsi="Arial" w:cs="Arial"/>
                <w:bCs/>
              </w:rPr>
              <w:t>Intervention is potentially life-saving</w:t>
            </w:r>
          </w:p>
        </w:tc>
        <w:tc>
          <w:tcPr>
            <w:tcW w:w="1799" w:type="dxa"/>
          </w:tcPr>
          <w:p w:rsidR="00F67810" w:rsidRPr="00AB1072" w:rsidRDefault="00F67810" w:rsidP="00483552">
            <w:pPr>
              <w:rPr>
                <w:rFonts w:ascii="Arial" w:hAnsi="Arial" w:cs="Arial"/>
                <w:bCs/>
              </w:rPr>
            </w:pPr>
            <w:r w:rsidRPr="00AB1072">
              <w:rPr>
                <w:rFonts w:ascii="Arial" w:hAnsi="Arial" w:cs="Arial"/>
                <w:bCs/>
              </w:rPr>
              <w:t>6</w:t>
            </w:r>
          </w:p>
        </w:tc>
        <w:tc>
          <w:tcPr>
            <w:tcW w:w="1729" w:type="dxa"/>
          </w:tcPr>
          <w:p w:rsidR="00F67810" w:rsidRPr="000F7B95" w:rsidRDefault="00F67810" w:rsidP="00483552">
            <w:pPr>
              <w:autoSpaceDE w:val="0"/>
              <w:autoSpaceDN w:val="0"/>
              <w:adjustRightInd w:val="0"/>
              <w:rPr>
                <w:rFonts w:ascii="Arial" w:hAnsi="Arial" w:cs="Arial"/>
              </w:rPr>
            </w:pPr>
            <w:r w:rsidRPr="000F7B95">
              <w:rPr>
                <w:rFonts w:ascii="Arial" w:hAnsi="Arial" w:cs="Arial"/>
              </w:rPr>
              <w:t>1085-2120</w:t>
            </w:r>
          </w:p>
        </w:tc>
      </w:tr>
    </w:tbl>
    <w:p w:rsidR="00D61856" w:rsidRDefault="00D61856" w:rsidP="00D61856">
      <w:pPr>
        <w:spacing w:after="0"/>
        <w:jc w:val="both"/>
        <w:rPr>
          <w:rFonts w:ascii="Arial" w:hAnsi="Arial" w:cs="Arial"/>
          <w:sz w:val="24"/>
          <w:szCs w:val="24"/>
        </w:rPr>
      </w:pPr>
    </w:p>
    <w:p w:rsidR="00DC26BB" w:rsidRPr="00A52B78" w:rsidRDefault="007E2173" w:rsidP="00DC26BB">
      <w:pPr>
        <w:jc w:val="both"/>
        <w:rPr>
          <w:rFonts w:ascii="Arial" w:hAnsi="Arial" w:cs="Arial"/>
          <w:sz w:val="24"/>
        </w:rPr>
      </w:pPr>
      <w:r>
        <w:rPr>
          <w:rFonts w:ascii="Arial" w:hAnsi="Arial" w:cs="Arial"/>
          <w:sz w:val="24"/>
          <w:szCs w:val="24"/>
        </w:rPr>
        <w:t>Patients’ medication a</w:t>
      </w:r>
      <w:r w:rsidR="00DC26BB" w:rsidRPr="00DC26BB">
        <w:rPr>
          <w:rFonts w:ascii="Arial" w:hAnsi="Arial" w:cs="Arial"/>
          <w:sz w:val="24"/>
          <w:szCs w:val="24"/>
        </w:rPr>
        <w:t xml:space="preserve">dherence was assessed by asking patients three </w:t>
      </w:r>
      <w:r w:rsidR="00DC26BB">
        <w:rPr>
          <w:rFonts w:ascii="Arial" w:hAnsi="Arial" w:cs="Arial"/>
          <w:sz w:val="24"/>
          <w:szCs w:val="24"/>
        </w:rPr>
        <w:t xml:space="preserve">medicines adherence </w:t>
      </w:r>
      <w:r w:rsidR="00DC26BB" w:rsidRPr="00DC26BB">
        <w:rPr>
          <w:rFonts w:ascii="Arial" w:hAnsi="Arial" w:cs="Arial"/>
          <w:sz w:val="24"/>
          <w:szCs w:val="24"/>
        </w:rPr>
        <w:t>questions at the beginning of the review and at the 5 and 13 week follow up telephone calls</w:t>
      </w:r>
      <w:r w:rsidR="00DC26BB">
        <w:rPr>
          <w:rFonts w:ascii="Arial" w:hAnsi="Arial" w:cs="Arial"/>
          <w:sz w:val="24"/>
          <w:szCs w:val="24"/>
        </w:rPr>
        <w:t xml:space="preserve"> (Box 2).  </w:t>
      </w:r>
      <w:r w:rsidR="00D61856">
        <w:rPr>
          <w:rFonts w:ascii="Arial" w:hAnsi="Arial" w:cs="Arial"/>
          <w:sz w:val="24"/>
          <w:szCs w:val="24"/>
        </w:rPr>
        <w:t>These questions had previously been developed using a PDSA</w:t>
      </w:r>
      <w:r w:rsidR="00A52B78">
        <w:rPr>
          <w:rFonts w:ascii="Arial" w:hAnsi="Arial" w:cs="Arial"/>
          <w:sz w:val="24"/>
          <w:szCs w:val="24"/>
        </w:rPr>
        <w:t xml:space="preserve"> (Plan, Do Study, Act)</w:t>
      </w:r>
      <w:r w:rsidR="00D61856">
        <w:rPr>
          <w:rFonts w:ascii="Arial" w:hAnsi="Arial" w:cs="Arial"/>
          <w:sz w:val="24"/>
          <w:szCs w:val="24"/>
        </w:rPr>
        <w:t xml:space="preserve"> process by the SSCG MMT.  </w:t>
      </w:r>
      <w:r w:rsidR="00DC26BB" w:rsidRPr="00DC26BB">
        <w:rPr>
          <w:rFonts w:ascii="Arial" w:hAnsi="Arial" w:cs="Arial"/>
          <w:sz w:val="24"/>
        </w:rPr>
        <w:t>Changes in scores following a VW</w:t>
      </w:r>
      <w:r w:rsidR="00D929BA">
        <w:rPr>
          <w:rFonts w:ascii="Arial" w:hAnsi="Arial" w:cs="Arial"/>
          <w:sz w:val="24"/>
        </w:rPr>
        <w:t>-</w:t>
      </w:r>
      <w:r w:rsidR="00DC26BB" w:rsidRPr="00DC26BB">
        <w:rPr>
          <w:rFonts w:ascii="Arial" w:hAnsi="Arial" w:cs="Arial"/>
          <w:sz w:val="24"/>
        </w:rPr>
        <w:t>MM</w:t>
      </w:r>
      <w:r w:rsidR="00A52B78">
        <w:rPr>
          <w:rFonts w:ascii="Arial" w:hAnsi="Arial" w:cs="Arial"/>
          <w:sz w:val="24"/>
        </w:rPr>
        <w:t>T</w:t>
      </w:r>
      <w:r w:rsidR="00DC26BB" w:rsidRPr="00DC26BB">
        <w:rPr>
          <w:rFonts w:ascii="Arial" w:hAnsi="Arial" w:cs="Arial"/>
          <w:sz w:val="24"/>
        </w:rPr>
        <w:t xml:space="preserve"> domiciliary review </w:t>
      </w:r>
      <w:r w:rsidR="00A52B78">
        <w:rPr>
          <w:rFonts w:ascii="Arial" w:hAnsi="Arial" w:cs="Arial"/>
          <w:sz w:val="24"/>
        </w:rPr>
        <w:t xml:space="preserve">were </w:t>
      </w:r>
      <w:r w:rsidR="00087D56">
        <w:rPr>
          <w:rFonts w:ascii="Arial" w:hAnsi="Arial" w:cs="Arial"/>
          <w:sz w:val="24"/>
        </w:rPr>
        <w:t>calculated</w:t>
      </w:r>
      <w:r w:rsidR="00DC26BB" w:rsidRPr="00DC26BB">
        <w:rPr>
          <w:rFonts w:ascii="Arial" w:hAnsi="Arial" w:cs="Arial"/>
          <w:sz w:val="24"/>
        </w:rPr>
        <w:t>.</w:t>
      </w:r>
    </w:p>
    <w:p w:rsidR="00A52B78" w:rsidRDefault="00DF1D79" w:rsidP="00A52B78">
      <w:pPr>
        <w:spacing w:after="0"/>
        <w:jc w:val="both"/>
        <w:rPr>
          <w:rFonts w:ascii="Arial" w:hAnsi="Arial" w:cs="Arial"/>
          <w:sz w:val="24"/>
          <w:szCs w:val="24"/>
        </w:rPr>
      </w:pPr>
      <w:r w:rsidRPr="00DC26BB">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1BE8C63A" wp14:editId="4C09632E">
                <wp:simplePos x="0" y="0"/>
                <wp:positionH relativeFrom="column">
                  <wp:posOffset>61595</wp:posOffset>
                </wp:positionH>
                <wp:positionV relativeFrom="paragraph">
                  <wp:posOffset>8890</wp:posOffset>
                </wp:positionV>
                <wp:extent cx="6149975" cy="1871980"/>
                <wp:effectExtent l="0" t="0" r="22225"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1871980"/>
                        </a:xfrm>
                        <a:prstGeom prst="rect">
                          <a:avLst/>
                        </a:prstGeom>
                        <a:solidFill>
                          <a:srgbClr val="FFFFFF"/>
                        </a:solidFill>
                        <a:ln w="9525">
                          <a:solidFill>
                            <a:srgbClr val="000000"/>
                          </a:solidFill>
                          <a:miter lim="800000"/>
                          <a:headEnd/>
                          <a:tailEnd/>
                        </a:ln>
                      </wps:spPr>
                      <wps:txbx>
                        <w:txbxContent>
                          <w:p w:rsidR="00FC04C9" w:rsidRPr="00DC26BB" w:rsidRDefault="00FC04C9" w:rsidP="00DC26BB">
                            <w:pPr>
                              <w:jc w:val="both"/>
                              <w:rPr>
                                <w:rFonts w:ascii="Arial" w:hAnsi="Arial" w:cs="Arial"/>
                                <w:b/>
                                <w:sz w:val="20"/>
                                <w:szCs w:val="20"/>
                                <w:u w:val="single"/>
                              </w:rPr>
                            </w:pPr>
                            <w:r w:rsidRPr="00DC26BB">
                              <w:rPr>
                                <w:rFonts w:ascii="Arial" w:hAnsi="Arial" w:cs="Arial"/>
                                <w:b/>
                                <w:sz w:val="20"/>
                                <w:szCs w:val="20"/>
                                <w:u w:val="single"/>
                              </w:rPr>
                              <w:t>Box</w:t>
                            </w:r>
                            <w:r>
                              <w:rPr>
                                <w:rFonts w:ascii="Arial" w:hAnsi="Arial" w:cs="Arial"/>
                                <w:b/>
                                <w:sz w:val="20"/>
                                <w:szCs w:val="20"/>
                                <w:u w:val="single"/>
                              </w:rPr>
                              <w:t xml:space="preserve"> </w:t>
                            </w:r>
                            <w:r w:rsidRPr="00DC26BB">
                              <w:rPr>
                                <w:rFonts w:ascii="Arial" w:hAnsi="Arial" w:cs="Arial"/>
                                <w:b/>
                                <w:sz w:val="20"/>
                                <w:szCs w:val="20"/>
                                <w:u w:val="single"/>
                              </w:rPr>
                              <w:t xml:space="preserve">2: The three medicines adherence questions </w:t>
                            </w:r>
                          </w:p>
                          <w:p w:rsidR="00FC04C9" w:rsidRDefault="00FC04C9" w:rsidP="00DC26BB">
                            <w:pPr>
                              <w:pStyle w:val="ListParagraph"/>
                              <w:numPr>
                                <w:ilvl w:val="0"/>
                                <w:numId w:val="15"/>
                              </w:numPr>
                              <w:autoSpaceDE w:val="0"/>
                              <w:autoSpaceDN w:val="0"/>
                              <w:adjustRightInd w:val="0"/>
                              <w:spacing w:after="40" w:line="201" w:lineRule="atLeast"/>
                              <w:contextualSpacing w:val="0"/>
                              <w:rPr>
                                <w:rFonts w:ascii="Arial" w:hAnsi="Arial" w:cs="Arial"/>
                                <w:color w:val="000000"/>
                                <w:sz w:val="20"/>
                                <w:szCs w:val="20"/>
                              </w:rPr>
                            </w:pPr>
                            <w:r w:rsidRPr="00DC26BB">
                              <w:rPr>
                                <w:rFonts w:ascii="Arial" w:hAnsi="Arial" w:cs="Arial"/>
                                <w:color w:val="000000"/>
                                <w:sz w:val="20"/>
                                <w:szCs w:val="20"/>
                              </w:rPr>
                              <w:t xml:space="preserve">Do you have any problems understanding what your medications </w:t>
                            </w:r>
                            <w:r>
                              <w:rPr>
                                <w:rFonts w:ascii="Arial" w:hAnsi="Arial" w:cs="Arial"/>
                                <w:color w:val="000000"/>
                                <w:sz w:val="20"/>
                                <w:szCs w:val="20"/>
                              </w:rPr>
                              <w:t>are for?</w:t>
                            </w:r>
                          </w:p>
                          <w:p w:rsidR="00FC04C9" w:rsidRPr="00DC26BB" w:rsidRDefault="00FC04C9" w:rsidP="00DC26BB">
                            <w:pPr>
                              <w:pStyle w:val="ListParagraph"/>
                              <w:numPr>
                                <w:ilvl w:val="0"/>
                                <w:numId w:val="15"/>
                              </w:numPr>
                              <w:autoSpaceDE w:val="0"/>
                              <w:autoSpaceDN w:val="0"/>
                              <w:adjustRightInd w:val="0"/>
                              <w:spacing w:after="40" w:line="201" w:lineRule="atLeast"/>
                              <w:contextualSpacing w:val="0"/>
                              <w:rPr>
                                <w:rFonts w:ascii="Arial" w:hAnsi="Arial" w:cs="Arial"/>
                                <w:color w:val="000000"/>
                                <w:sz w:val="20"/>
                                <w:szCs w:val="20"/>
                              </w:rPr>
                            </w:pPr>
                            <w:r w:rsidRPr="00DC26BB">
                              <w:rPr>
                                <w:rFonts w:ascii="Arial" w:hAnsi="Arial" w:cs="Arial"/>
                                <w:color w:val="000000"/>
                                <w:sz w:val="20"/>
                                <w:szCs w:val="20"/>
                              </w:rPr>
                              <w:t>Have you been unable to take, or forgotten to take your medications in the last two weeks? *</w:t>
                            </w:r>
                            <w:r w:rsidRPr="00DC26BB">
                              <w:rPr>
                                <w:rFonts w:ascii="Arial" w:hAnsi="Arial" w:cs="Arial"/>
                                <w:color w:val="000000"/>
                                <w:sz w:val="20"/>
                                <w:szCs w:val="20"/>
                              </w:rPr>
                              <w:tab/>
                            </w:r>
                          </w:p>
                          <w:p w:rsidR="00FC04C9" w:rsidRPr="00DC26BB" w:rsidRDefault="00FC04C9" w:rsidP="00DC26BB">
                            <w:pPr>
                              <w:pStyle w:val="ListParagraph"/>
                              <w:numPr>
                                <w:ilvl w:val="0"/>
                                <w:numId w:val="15"/>
                              </w:numPr>
                              <w:autoSpaceDE w:val="0"/>
                              <w:autoSpaceDN w:val="0"/>
                              <w:adjustRightInd w:val="0"/>
                              <w:spacing w:after="40" w:line="201" w:lineRule="atLeast"/>
                              <w:contextualSpacing w:val="0"/>
                              <w:rPr>
                                <w:rFonts w:ascii="Arial" w:hAnsi="Arial" w:cs="Arial"/>
                                <w:color w:val="000000"/>
                                <w:sz w:val="20"/>
                                <w:szCs w:val="20"/>
                              </w:rPr>
                            </w:pPr>
                            <w:r w:rsidRPr="00DC26BB">
                              <w:rPr>
                                <w:rFonts w:ascii="Arial" w:hAnsi="Arial" w:cs="Arial"/>
                                <w:color w:val="000000"/>
                                <w:sz w:val="20"/>
                                <w:szCs w:val="20"/>
                              </w:rPr>
                              <w:t>Do you struggle to use, swallow or manage your medications?</w:t>
                            </w:r>
                          </w:p>
                          <w:p w:rsidR="00FC04C9" w:rsidRPr="00DC26BB" w:rsidRDefault="00FC04C9" w:rsidP="00DC26BB">
                            <w:pPr>
                              <w:pStyle w:val="ListParagraph"/>
                              <w:ind w:left="1440"/>
                              <w:jc w:val="both"/>
                              <w:rPr>
                                <w:rFonts w:ascii="Arial" w:hAnsi="Arial" w:cs="Arial"/>
                                <w:sz w:val="20"/>
                                <w:szCs w:val="20"/>
                              </w:rPr>
                            </w:pPr>
                          </w:p>
                          <w:p w:rsidR="00FC04C9" w:rsidRPr="00DC26BB" w:rsidRDefault="00FC04C9" w:rsidP="00DC26BB">
                            <w:pPr>
                              <w:jc w:val="both"/>
                              <w:rPr>
                                <w:rFonts w:ascii="Arial" w:hAnsi="Arial" w:cs="Arial"/>
                                <w:sz w:val="20"/>
                                <w:szCs w:val="20"/>
                              </w:rPr>
                            </w:pPr>
                            <w:r w:rsidRPr="00DC26BB">
                              <w:rPr>
                                <w:rFonts w:ascii="Arial" w:hAnsi="Arial" w:cs="Arial"/>
                                <w:sz w:val="20"/>
                                <w:szCs w:val="20"/>
                              </w:rPr>
                              <w:t xml:space="preserve">Score the answers to each question (0=No,  1=Yes </w:t>
                            </w:r>
                            <w:r>
                              <w:rPr>
                                <w:rFonts w:ascii="Arial" w:hAnsi="Arial" w:cs="Arial"/>
                                <w:sz w:val="20"/>
                                <w:szCs w:val="20"/>
                              </w:rPr>
                              <w:t>for some medicines</w:t>
                            </w:r>
                            <w:r w:rsidRPr="007E2173">
                              <w:rPr>
                                <w:rFonts w:ascii="Arial" w:hAnsi="Arial" w:cs="Arial"/>
                                <w:sz w:val="20"/>
                                <w:szCs w:val="20"/>
                              </w:rPr>
                              <w:t xml:space="preserve">,  2=Yes </w:t>
                            </w:r>
                            <w:r>
                              <w:rPr>
                                <w:rFonts w:ascii="Arial" w:hAnsi="Arial" w:cs="Arial"/>
                                <w:sz w:val="20"/>
                                <w:szCs w:val="20"/>
                              </w:rPr>
                              <w:t>for all medicines</w:t>
                            </w:r>
                            <w:r w:rsidRPr="00DC26BB">
                              <w:rPr>
                                <w:rFonts w:ascii="Arial" w:hAnsi="Arial" w:cs="Arial"/>
                                <w:sz w:val="20"/>
                                <w:szCs w:val="20"/>
                              </w:rPr>
                              <w:t xml:space="preserve">) </w:t>
                            </w:r>
                            <w:r>
                              <w:rPr>
                                <w:rFonts w:ascii="Arial" w:hAnsi="Arial" w:cs="Arial"/>
                                <w:sz w:val="20"/>
                                <w:szCs w:val="20"/>
                              </w:rPr>
                              <w:t>and document the total score out  of 6</w:t>
                            </w:r>
                            <w:r w:rsidRPr="00DC26BB">
                              <w:rPr>
                                <w:rFonts w:ascii="Arial" w:hAnsi="Arial" w:cs="Arial"/>
                                <w:sz w:val="20"/>
                                <w:szCs w:val="20"/>
                              </w:rPr>
                              <w:t xml:space="preserve">. </w:t>
                            </w:r>
                          </w:p>
                          <w:p w:rsidR="00FC04C9" w:rsidRPr="00DC26BB" w:rsidRDefault="00FC04C9" w:rsidP="00DC26BB">
                            <w:pPr>
                              <w:rPr>
                                <w:rFonts w:ascii="Arial" w:hAnsi="Arial" w:cs="Arial"/>
                                <w:bCs/>
                                <w:sz w:val="20"/>
                                <w:szCs w:val="20"/>
                              </w:rPr>
                            </w:pPr>
                            <w:r w:rsidRPr="00DC26BB">
                              <w:rPr>
                                <w:rFonts w:ascii="Arial" w:hAnsi="Arial" w:cs="Arial"/>
                                <w:b/>
                                <w:bCs/>
                                <w:sz w:val="20"/>
                                <w:szCs w:val="20"/>
                              </w:rPr>
                              <w:t xml:space="preserve">* </w:t>
                            </w:r>
                            <w:r w:rsidRPr="00DC26BB">
                              <w:rPr>
                                <w:rFonts w:ascii="Arial" w:hAnsi="Arial" w:cs="Arial"/>
                                <w:bCs/>
                                <w:sz w:val="20"/>
                                <w:szCs w:val="20"/>
                              </w:rPr>
                              <w:t>It is noted that when the patient is first asked this question (Q2) post hospital discharge, the time the patient has actually spent in hospital may need to be taken into account</w:t>
                            </w:r>
                          </w:p>
                          <w:p w:rsidR="00FC04C9" w:rsidRDefault="00FC0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E8C63A" id="_x0000_s1027" type="#_x0000_t202" style="position:absolute;left:0;text-align:left;margin-left:4.85pt;margin-top:.7pt;width:484.2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QGKAIAAEwEAAAOAAAAZHJzL2Uyb0RvYy54bWysVNuO2yAQfa/Uf0C8N46jZJNYcVbbbFNV&#10;2l6k3X4AxjhGBYYCib39+g7Ym1ptn6r6ATHMcJg5Z8a7214rchHOSzAlzWdzSoThUEtzKunXp+Ob&#10;DSU+MFMzBUaU9Fl4ert//WrX2UIsoAVVC0cQxPiisyVtQ7BFlnneCs38DKww6GzAaRbQdKesdqxD&#10;dK2yxXx+k3XgauuAC+/x9H5w0n3CbxrBw+em8SIQVVLMLaTVpbWKa7bfseLkmG0lH9Ng/5CFZtLg&#10;o1eoexYYOTv5B5SW3IGHJsw46AyaRnKRasBq8vlv1Ty2zIpUC5Lj7ZUm//9g+afLF0dkjdpRYphG&#10;iZ5EH8hb6MkistNZX2DQo8Ww0ONxjIyVevsA/JsnBg4tMydx5xx0rWA1ZpfHm9nk6oDjI0jVfYQa&#10;n2HnAAmob5yOgEgGQXRU6fmqTEyF4+FNvtxu1ytKOPryzTrfbpJ2GSterlvnw3sBmsRNSR1Kn+DZ&#10;5cGHmA4rXkJS+qBkfZRKJcOdqoNy5MKwTY7pSxVgldMwZUhX0u1qsRoYmPr8FGKevr9BaBmw35XU&#10;Jd1cg1gReXtn6tSNgUk17DFlZUYiI3cDi6Gv+lGxUZ8K6mdk1sHQ3jiOuGnB/aCkw9Yuqf9+Zk5Q&#10;oj4YVGebL5dxFpKxXK0XaLipp5p6mOEIVdJAybA9hDQ/kTcDd6hiIxO/Ue4hkzFlbNlE+zhecSam&#10;dor69RPY/wQAAP//AwBQSwMEFAAGAAgAAAAhAOJ0QdjcAAAABwEAAA8AAABkcnMvZG93bnJldi54&#10;bWxMjstOwzAQRfdI/IM1SGwQdQhVXsSpEBIIdlAQbN14mkTE42C7afh7hhUs70P3nnqz2FHM6MPg&#10;SMHVKgGB1DozUKfg7fX+sgARoiajR0eo4BsDbJrTk1pXxh3pBedt7ASPUKi0gj7GqZIytD1aHVZu&#10;QuJs77zVkaXvpPH6yON2lGmSZNLqgfih1xPe9dh+bg9WQbF+nD/C0/Xze5vtxzJe5PPDl1fq/Gy5&#10;vQERcYl/ZfjFZ3RomGnnDmSCGBWUORfZXoPgtMyLFMROQVpmKcimlv/5mx8AAAD//wMAUEsBAi0A&#10;FAAGAAgAAAAhALaDOJL+AAAA4QEAABMAAAAAAAAAAAAAAAAAAAAAAFtDb250ZW50X1R5cGVzXS54&#10;bWxQSwECLQAUAAYACAAAACEAOP0h/9YAAACUAQAACwAAAAAAAAAAAAAAAAAvAQAAX3JlbHMvLnJl&#10;bHNQSwECLQAUAAYACAAAACEAwy7kBigCAABMBAAADgAAAAAAAAAAAAAAAAAuAgAAZHJzL2Uyb0Rv&#10;Yy54bWxQSwECLQAUAAYACAAAACEA4nRB2NwAAAAHAQAADwAAAAAAAAAAAAAAAACCBAAAZHJzL2Rv&#10;d25yZXYueG1sUEsFBgAAAAAEAAQA8wAAAIsFAAAAAA==&#10;">
                <v:textbox>
                  <w:txbxContent>
                    <w:p w:rsidR="00FC04C9" w:rsidRPr="00DC26BB" w:rsidRDefault="00FC04C9" w:rsidP="00DC26BB">
                      <w:pPr>
                        <w:jc w:val="both"/>
                        <w:rPr>
                          <w:rFonts w:ascii="Arial" w:hAnsi="Arial" w:cs="Arial"/>
                          <w:b/>
                          <w:sz w:val="20"/>
                          <w:szCs w:val="20"/>
                          <w:u w:val="single"/>
                        </w:rPr>
                      </w:pPr>
                      <w:r w:rsidRPr="00DC26BB">
                        <w:rPr>
                          <w:rFonts w:ascii="Arial" w:hAnsi="Arial" w:cs="Arial"/>
                          <w:b/>
                          <w:sz w:val="20"/>
                          <w:szCs w:val="20"/>
                          <w:u w:val="single"/>
                        </w:rPr>
                        <w:t>Box</w:t>
                      </w:r>
                      <w:r>
                        <w:rPr>
                          <w:rFonts w:ascii="Arial" w:hAnsi="Arial" w:cs="Arial"/>
                          <w:b/>
                          <w:sz w:val="20"/>
                          <w:szCs w:val="20"/>
                          <w:u w:val="single"/>
                        </w:rPr>
                        <w:t xml:space="preserve"> </w:t>
                      </w:r>
                      <w:r w:rsidRPr="00DC26BB">
                        <w:rPr>
                          <w:rFonts w:ascii="Arial" w:hAnsi="Arial" w:cs="Arial"/>
                          <w:b/>
                          <w:sz w:val="20"/>
                          <w:szCs w:val="20"/>
                          <w:u w:val="single"/>
                        </w:rPr>
                        <w:t xml:space="preserve">2: The three medicines adherence questions </w:t>
                      </w:r>
                    </w:p>
                    <w:p w:rsidR="00FC04C9" w:rsidRDefault="00FC04C9" w:rsidP="00DC26BB">
                      <w:pPr>
                        <w:pStyle w:val="ListParagraph"/>
                        <w:numPr>
                          <w:ilvl w:val="0"/>
                          <w:numId w:val="15"/>
                        </w:numPr>
                        <w:autoSpaceDE w:val="0"/>
                        <w:autoSpaceDN w:val="0"/>
                        <w:adjustRightInd w:val="0"/>
                        <w:spacing w:after="40" w:line="201" w:lineRule="atLeast"/>
                        <w:contextualSpacing w:val="0"/>
                        <w:rPr>
                          <w:rFonts w:ascii="Arial" w:hAnsi="Arial" w:cs="Arial"/>
                          <w:color w:val="000000"/>
                          <w:sz w:val="20"/>
                          <w:szCs w:val="20"/>
                        </w:rPr>
                      </w:pPr>
                      <w:r w:rsidRPr="00DC26BB">
                        <w:rPr>
                          <w:rFonts w:ascii="Arial" w:hAnsi="Arial" w:cs="Arial"/>
                          <w:color w:val="000000"/>
                          <w:sz w:val="20"/>
                          <w:szCs w:val="20"/>
                        </w:rPr>
                        <w:t xml:space="preserve">Do you have any problems understanding what your medications </w:t>
                      </w:r>
                      <w:r>
                        <w:rPr>
                          <w:rFonts w:ascii="Arial" w:hAnsi="Arial" w:cs="Arial"/>
                          <w:color w:val="000000"/>
                          <w:sz w:val="20"/>
                          <w:szCs w:val="20"/>
                        </w:rPr>
                        <w:t>are for?</w:t>
                      </w:r>
                    </w:p>
                    <w:p w:rsidR="00FC04C9" w:rsidRPr="00DC26BB" w:rsidRDefault="00FC04C9" w:rsidP="00DC26BB">
                      <w:pPr>
                        <w:pStyle w:val="ListParagraph"/>
                        <w:numPr>
                          <w:ilvl w:val="0"/>
                          <w:numId w:val="15"/>
                        </w:numPr>
                        <w:autoSpaceDE w:val="0"/>
                        <w:autoSpaceDN w:val="0"/>
                        <w:adjustRightInd w:val="0"/>
                        <w:spacing w:after="40" w:line="201" w:lineRule="atLeast"/>
                        <w:contextualSpacing w:val="0"/>
                        <w:rPr>
                          <w:rFonts w:ascii="Arial" w:hAnsi="Arial" w:cs="Arial"/>
                          <w:color w:val="000000"/>
                          <w:sz w:val="20"/>
                          <w:szCs w:val="20"/>
                        </w:rPr>
                      </w:pPr>
                      <w:r w:rsidRPr="00DC26BB">
                        <w:rPr>
                          <w:rFonts w:ascii="Arial" w:hAnsi="Arial" w:cs="Arial"/>
                          <w:color w:val="000000"/>
                          <w:sz w:val="20"/>
                          <w:szCs w:val="20"/>
                        </w:rPr>
                        <w:t>Have you been unable to take, or forgotten to take your medications in the last two weeks? *</w:t>
                      </w:r>
                      <w:r w:rsidRPr="00DC26BB">
                        <w:rPr>
                          <w:rFonts w:ascii="Arial" w:hAnsi="Arial" w:cs="Arial"/>
                          <w:color w:val="000000"/>
                          <w:sz w:val="20"/>
                          <w:szCs w:val="20"/>
                        </w:rPr>
                        <w:tab/>
                      </w:r>
                    </w:p>
                    <w:p w:rsidR="00FC04C9" w:rsidRPr="00DC26BB" w:rsidRDefault="00FC04C9" w:rsidP="00DC26BB">
                      <w:pPr>
                        <w:pStyle w:val="ListParagraph"/>
                        <w:numPr>
                          <w:ilvl w:val="0"/>
                          <w:numId w:val="15"/>
                        </w:numPr>
                        <w:autoSpaceDE w:val="0"/>
                        <w:autoSpaceDN w:val="0"/>
                        <w:adjustRightInd w:val="0"/>
                        <w:spacing w:after="40" w:line="201" w:lineRule="atLeast"/>
                        <w:contextualSpacing w:val="0"/>
                        <w:rPr>
                          <w:rFonts w:ascii="Arial" w:hAnsi="Arial" w:cs="Arial"/>
                          <w:color w:val="000000"/>
                          <w:sz w:val="20"/>
                          <w:szCs w:val="20"/>
                        </w:rPr>
                      </w:pPr>
                      <w:r w:rsidRPr="00DC26BB">
                        <w:rPr>
                          <w:rFonts w:ascii="Arial" w:hAnsi="Arial" w:cs="Arial"/>
                          <w:color w:val="000000"/>
                          <w:sz w:val="20"/>
                          <w:szCs w:val="20"/>
                        </w:rPr>
                        <w:t>Do you struggle to use, swallow or manage your medications?</w:t>
                      </w:r>
                    </w:p>
                    <w:p w:rsidR="00FC04C9" w:rsidRPr="00DC26BB" w:rsidRDefault="00FC04C9" w:rsidP="00DC26BB">
                      <w:pPr>
                        <w:pStyle w:val="ListParagraph"/>
                        <w:ind w:left="1440"/>
                        <w:jc w:val="both"/>
                        <w:rPr>
                          <w:rFonts w:ascii="Arial" w:hAnsi="Arial" w:cs="Arial"/>
                          <w:sz w:val="20"/>
                          <w:szCs w:val="20"/>
                        </w:rPr>
                      </w:pPr>
                    </w:p>
                    <w:p w:rsidR="00FC04C9" w:rsidRPr="00DC26BB" w:rsidRDefault="00FC04C9" w:rsidP="00DC26BB">
                      <w:pPr>
                        <w:jc w:val="both"/>
                        <w:rPr>
                          <w:rFonts w:ascii="Arial" w:hAnsi="Arial" w:cs="Arial"/>
                          <w:sz w:val="20"/>
                          <w:szCs w:val="20"/>
                        </w:rPr>
                      </w:pPr>
                      <w:r w:rsidRPr="00DC26BB">
                        <w:rPr>
                          <w:rFonts w:ascii="Arial" w:hAnsi="Arial" w:cs="Arial"/>
                          <w:sz w:val="20"/>
                          <w:szCs w:val="20"/>
                        </w:rPr>
                        <w:t>Score the answers to each question (0=No</w:t>
                      </w:r>
                      <w:proofErr w:type="gramStart"/>
                      <w:r w:rsidRPr="00DC26BB">
                        <w:rPr>
                          <w:rFonts w:ascii="Arial" w:hAnsi="Arial" w:cs="Arial"/>
                          <w:sz w:val="20"/>
                          <w:szCs w:val="20"/>
                        </w:rPr>
                        <w:t>,  1</w:t>
                      </w:r>
                      <w:proofErr w:type="gramEnd"/>
                      <w:r w:rsidRPr="00DC26BB">
                        <w:rPr>
                          <w:rFonts w:ascii="Arial" w:hAnsi="Arial" w:cs="Arial"/>
                          <w:sz w:val="20"/>
                          <w:szCs w:val="20"/>
                        </w:rPr>
                        <w:t xml:space="preserve">=Yes </w:t>
                      </w:r>
                      <w:r>
                        <w:rPr>
                          <w:rFonts w:ascii="Arial" w:hAnsi="Arial" w:cs="Arial"/>
                          <w:sz w:val="20"/>
                          <w:szCs w:val="20"/>
                        </w:rPr>
                        <w:t>for some medicines</w:t>
                      </w:r>
                      <w:r w:rsidRPr="007E2173">
                        <w:rPr>
                          <w:rFonts w:ascii="Arial" w:hAnsi="Arial" w:cs="Arial"/>
                          <w:sz w:val="20"/>
                          <w:szCs w:val="20"/>
                        </w:rPr>
                        <w:t xml:space="preserve">,  2=Yes </w:t>
                      </w:r>
                      <w:r>
                        <w:rPr>
                          <w:rFonts w:ascii="Arial" w:hAnsi="Arial" w:cs="Arial"/>
                          <w:sz w:val="20"/>
                          <w:szCs w:val="20"/>
                        </w:rPr>
                        <w:t>for all medicines</w:t>
                      </w:r>
                      <w:r w:rsidRPr="00DC26BB">
                        <w:rPr>
                          <w:rFonts w:ascii="Arial" w:hAnsi="Arial" w:cs="Arial"/>
                          <w:sz w:val="20"/>
                          <w:szCs w:val="20"/>
                        </w:rPr>
                        <w:t xml:space="preserve">) </w:t>
                      </w:r>
                      <w:r>
                        <w:rPr>
                          <w:rFonts w:ascii="Arial" w:hAnsi="Arial" w:cs="Arial"/>
                          <w:sz w:val="20"/>
                          <w:szCs w:val="20"/>
                        </w:rPr>
                        <w:t>and document the total score out  of 6</w:t>
                      </w:r>
                      <w:r w:rsidRPr="00DC26BB">
                        <w:rPr>
                          <w:rFonts w:ascii="Arial" w:hAnsi="Arial" w:cs="Arial"/>
                          <w:sz w:val="20"/>
                          <w:szCs w:val="20"/>
                        </w:rPr>
                        <w:t xml:space="preserve">. </w:t>
                      </w:r>
                    </w:p>
                    <w:p w:rsidR="00FC04C9" w:rsidRPr="00DC26BB" w:rsidRDefault="00FC04C9" w:rsidP="00DC26BB">
                      <w:pPr>
                        <w:rPr>
                          <w:rFonts w:ascii="Arial" w:hAnsi="Arial" w:cs="Arial"/>
                          <w:bCs/>
                          <w:sz w:val="20"/>
                          <w:szCs w:val="20"/>
                        </w:rPr>
                      </w:pPr>
                      <w:r w:rsidRPr="00DC26BB">
                        <w:rPr>
                          <w:rFonts w:ascii="Arial" w:hAnsi="Arial" w:cs="Arial"/>
                          <w:b/>
                          <w:bCs/>
                          <w:sz w:val="20"/>
                          <w:szCs w:val="20"/>
                        </w:rPr>
                        <w:t xml:space="preserve">* </w:t>
                      </w:r>
                      <w:r w:rsidRPr="00DC26BB">
                        <w:rPr>
                          <w:rFonts w:ascii="Arial" w:hAnsi="Arial" w:cs="Arial"/>
                          <w:bCs/>
                          <w:sz w:val="20"/>
                          <w:szCs w:val="20"/>
                        </w:rPr>
                        <w:t>It is noted that when the patient is first asked this question (Q2) post hospital discharge, the time the patient has actually spent in hospital may need to be taken into account</w:t>
                      </w:r>
                    </w:p>
                    <w:p w:rsidR="00FC04C9" w:rsidRDefault="00FC04C9"/>
                  </w:txbxContent>
                </v:textbox>
                <w10:wrap type="topAndBottom"/>
              </v:shape>
            </w:pict>
          </mc:Fallback>
        </mc:AlternateContent>
      </w:r>
    </w:p>
    <w:p w:rsidR="001351F9" w:rsidRDefault="001351F9" w:rsidP="001351F9">
      <w:pPr>
        <w:jc w:val="both"/>
        <w:rPr>
          <w:rFonts w:ascii="Arial" w:hAnsi="Arial" w:cs="Arial"/>
          <w:sz w:val="24"/>
          <w:szCs w:val="24"/>
        </w:rPr>
      </w:pPr>
      <w:r>
        <w:rPr>
          <w:rFonts w:ascii="Arial" w:hAnsi="Arial" w:cs="Arial"/>
          <w:sz w:val="24"/>
          <w:szCs w:val="24"/>
        </w:rPr>
        <w:t>F</w:t>
      </w:r>
      <w:r w:rsidRPr="00DC26BB">
        <w:rPr>
          <w:rFonts w:ascii="Arial" w:hAnsi="Arial" w:cs="Arial"/>
          <w:sz w:val="24"/>
          <w:szCs w:val="24"/>
        </w:rPr>
        <w:t xml:space="preserve">inancial savings to the CCG </w:t>
      </w:r>
      <w:r w:rsidR="00A52B78">
        <w:rPr>
          <w:rFonts w:ascii="Arial" w:hAnsi="Arial" w:cs="Arial"/>
          <w:sz w:val="24"/>
          <w:szCs w:val="24"/>
        </w:rPr>
        <w:t>from</w:t>
      </w:r>
      <w:r w:rsidRPr="00DC26BB">
        <w:rPr>
          <w:rFonts w:ascii="Arial" w:hAnsi="Arial" w:cs="Arial"/>
          <w:sz w:val="24"/>
          <w:szCs w:val="24"/>
        </w:rPr>
        <w:t xml:space="preserve"> medicines that had been stopped, and/or identified as not required, that would otherwise have been wasted</w:t>
      </w:r>
      <w:r w:rsidR="00A52B78">
        <w:rPr>
          <w:rFonts w:ascii="Arial" w:hAnsi="Arial" w:cs="Arial"/>
          <w:sz w:val="24"/>
          <w:szCs w:val="24"/>
        </w:rPr>
        <w:t>,</w:t>
      </w:r>
      <w:r w:rsidRPr="00DC26BB">
        <w:rPr>
          <w:rFonts w:ascii="Arial" w:hAnsi="Arial" w:cs="Arial"/>
          <w:sz w:val="24"/>
          <w:szCs w:val="24"/>
        </w:rPr>
        <w:t xml:space="preserve"> were calculated</w:t>
      </w:r>
      <w:r>
        <w:rPr>
          <w:rFonts w:ascii="Arial" w:hAnsi="Arial" w:cs="Arial"/>
          <w:sz w:val="24"/>
          <w:szCs w:val="24"/>
        </w:rPr>
        <w:t xml:space="preserve"> on an annualised basis</w:t>
      </w:r>
      <w:r w:rsidRPr="00DC26BB">
        <w:rPr>
          <w:rFonts w:ascii="Arial" w:hAnsi="Arial" w:cs="Arial"/>
          <w:sz w:val="24"/>
          <w:szCs w:val="24"/>
        </w:rPr>
        <w:t xml:space="preserve">.  </w:t>
      </w:r>
    </w:p>
    <w:p w:rsidR="00D32295" w:rsidRPr="00630174" w:rsidRDefault="00D32295" w:rsidP="00D32295">
      <w:pPr>
        <w:spacing w:after="0" w:line="240" w:lineRule="auto"/>
        <w:jc w:val="both"/>
        <w:rPr>
          <w:rFonts w:ascii="Arial" w:hAnsi="Arial" w:cs="Arial"/>
          <w:sz w:val="24"/>
          <w:szCs w:val="24"/>
        </w:rPr>
      </w:pPr>
      <w:r w:rsidRPr="00630174">
        <w:rPr>
          <w:rFonts w:ascii="Arial" w:hAnsi="Arial" w:cs="Arial"/>
          <w:sz w:val="24"/>
          <w:szCs w:val="24"/>
        </w:rPr>
        <w:t>Any hospital re-admissions</w:t>
      </w:r>
      <w:r w:rsidR="001351F9">
        <w:rPr>
          <w:rFonts w:ascii="Arial" w:hAnsi="Arial" w:cs="Arial"/>
          <w:sz w:val="24"/>
          <w:szCs w:val="24"/>
        </w:rPr>
        <w:t xml:space="preserve"> that had</w:t>
      </w:r>
      <w:r w:rsidRPr="00630174">
        <w:rPr>
          <w:rFonts w:ascii="Arial" w:hAnsi="Arial" w:cs="Arial"/>
          <w:sz w:val="24"/>
          <w:szCs w:val="24"/>
        </w:rPr>
        <w:t xml:space="preserve"> occurred since the initial review</w:t>
      </w:r>
      <w:r w:rsidR="001351F9">
        <w:rPr>
          <w:rFonts w:ascii="Arial" w:hAnsi="Arial" w:cs="Arial"/>
          <w:sz w:val="24"/>
          <w:szCs w:val="24"/>
        </w:rPr>
        <w:t xml:space="preserve"> were</w:t>
      </w:r>
      <w:r w:rsidRPr="00630174">
        <w:rPr>
          <w:rFonts w:ascii="Arial" w:hAnsi="Arial" w:cs="Arial"/>
          <w:sz w:val="24"/>
          <w:szCs w:val="24"/>
        </w:rPr>
        <w:t xml:space="preserve"> documented.</w:t>
      </w:r>
    </w:p>
    <w:p w:rsidR="00B139DA" w:rsidRDefault="00B139DA" w:rsidP="00A52B78">
      <w:pPr>
        <w:autoSpaceDE w:val="0"/>
        <w:autoSpaceDN w:val="0"/>
        <w:adjustRightInd w:val="0"/>
        <w:spacing w:after="0"/>
        <w:rPr>
          <w:rFonts w:ascii="Arial" w:hAnsi="Arial" w:cs="Arial"/>
          <w:sz w:val="24"/>
          <w:szCs w:val="24"/>
        </w:rPr>
      </w:pPr>
    </w:p>
    <w:p w:rsidR="00A52B78" w:rsidRDefault="00A52B78" w:rsidP="007D5CAB">
      <w:pPr>
        <w:autoSpaceDE w:val="0"/>
        <w:autoSpaceDN w:val="0"/>
        <w:adjustRightInd w:val="0"/>
        <w:rPr>
          <w:rFonts w:ascii="Arial" w:hAnsi="Arial" w:cs="Arial"/>
          <w:b/>
          <w:sz w:val="24"/>
          <w:szCs w:val="24"/>
        </w:rPr>
      </w:pPr>
      <w:r w:rsidRPr="00A52B78">
        <w:rPr>
          <w:rFonts w:ascii="Arial" w:hAnsi="Arial" w:cs="Arial"/>
          <w:b/>
          <w:sz w:val="24"/>
          <w:szCs w:val="24"/>
        </w:rPr>
        <w:t>Results</w:t>
      </w:r>
    </w:p>
    <w:p w:rsidR="00A52B78" w:rsidRDefault="00A52B78" w:rsidP="008B6009">
      <w:pPr>
        <w:autoSpaceDE w:val="0"/>
        <w:autoSpaceDN w:val="0"/>
        <w:adjustRightInd w:val="0"/>
        <w:jc w:val="both"/>
        <w:rPr>
          <w:rFonts w:ascii="Arial" w:hAnsi="Arial" w:cs="Arial"/>
          <w:sz w:val="24"/>
          <w:szCs w:val="24"/>
        </w:rPr>
      </w:pPr>
      <w:r>
        <w:rPr>
          <w:rFonts w:ascii="Arial" w:hAnsi="Arial" w:cs="Arial"/>
          <w:sz w:val="24"/>
          <w:szCs w:val="24"/>
        </w:rPr>
        <w:t>During the six months September 2016- February 2017, 2</w:t>
      </w:r>
      <w:r w:rsidR="00D929BA">
        <w:rPr>
          <w:rFonts w:ascii="Arial" w:hAnsi="Arial" w:cs="Arial"/>
          <w:sz w:val="24"/>
          <w:szCs w:val="24"/>
        </w:rPr>
        <w:t>2</w:t>
      </w:r>
      <w:r>
        <w:rPr>
          <w:rFonts w:ascii="Arial" w:hAnsi="Arial" w:cs="Arial"/>
          <w:sz w:val="24"/>
          <w:szCs w:val="24"/>
        </w:rPr>
        <w:t xml:space="preserve"> patients were referred to the VW</w:t>
      </w:r>
      <w:r w:rsidR="00D929BA">
        <w:rPr>
          <w:rFonts w:ascii="Arial" w:hAnsi="Arial" w:cs="Arial"/>
          <w:sz w:val="24"/>
          <w:szCs w:val="24"/>
        </w:rPr>
        <w:t>-</w:t>
      </w:r>
      <w:r>
        <w:rPr>
          <w:rFonts w:ascii="Arial" w:hAnsi="Arial" w:cs="Arial"/>
          <w:sz w:val="24"/>
          <w:szCs w:val="24"/>
        </w:rPr>
        <w:t xml:space="preserve">MMT by the hospital pharmacy.  </w:t>
      </w:r>
      <w:r w:rsidR="00D929BA">
        <w:rPr>
          <w:rFonts w:ascii="Arial" w:hAnsi="Arial" w:cs="Arial"/>
          <w:sz w:val="24"/>
          <w:szCs w:val="24"/>
        </w:rPr>
        <w:t xml:space="preserve">One of these did not fit the inclusion criteria as they lived in a care home.  This patient was referred on the care home MMT.  </w:t>
      </w:r>
      <w:r>
        <w:rPr>
          <w:rFonts w:ascii="Arial" w:hAnsi="Arial" w:cs="Arial"/>
          <w:sz w:val="24"/>
          <w:szCs w:val="24"/>
        </w:rPr>
        <w:t xml:space="preserve">Three </w:t>
      </w:r>
      <w:r w:rsidR="00D929BA">
        <w:rPr>
          <w:rFonts w:ascii="Arial" w:hAnsi="Arial" w:cs="Arial"/>
          <w:sz w:val="24"/>
          <w:szCs w:val="24"/>
        </w:rPr>
        <w:t>patients</w:t>
      </w:r>
      <w:r>
        <w:rPr>
          <w:rFonts w:ascii="Arial" w:hAnsi="Arial" w:cs="Arial"/>
          <w:sz w:val="24"/>
          <w:szCs w:val="24"/>
        </w:rPr>
        <w:t xml:space="preserve"> subsequently declined input from the team despite having consented to the service whilst in hospital.</w:t>
      </w:r>
      <w:r w:rsidR="00D929BA">
        <w:rPr>
          <w:rFonts w:ascii="Arial" w:hAnsi="Arial" w:cs="Arial"/>
          <w:sz w:val="24"/>
          <w:szCs w:val="24"/>
        </w:rPr>
        <w:t xml:space="preserve">  A further two patients were re-admitted to hospital before the first visit from the VW-MMT (ie within two weeks of their original discharge).  Therefore a total of </w:t>
      </w:r>
      <w:r w:rsidR="00E33442">
        <w:rPr>
          <w:rFonts w:ascii="Arial" w:hAnsi="Arial" w:cs="Arial"/>
          <w:sz w:val="24"/>
          <w:szCs w:val="24"/>
        </w:rPr>
        <w:t>16</w:t>
      </w:r>
      <w:r w:rsidR="00D929BA">
        <w:rPr>
          <w:rFonts w:ascii="Arial" w:hAnsi="Arial" w:cs="Arial"/>
          <w:sz w:val="24"/>
          <w:szCs w:val="24"/>
        </w:rPr>
        <w:t xml:space="preserve"> </w:t>
      </w:r>
      <w:r w:rsidR="002711C7">
        <w:rPr>
          <w:rFonts w:ascii="Arial" w:hAnsi="Arial" w:cs="Arial"/>
          <w:sz w:val="24"/>
          <w:szCs w:val="24"/>
        </w:rPr>
        <w:t xml:space="preserve">patients </w:t>
      </w:r>
      <w:r w:rsidR="00D929BA">
        <w:rPr>
          <w:rFonts w:ascii="Arial" w:hAnsi="Arial" w:cs="Arial"/>
          <w:sz w:val="24"/>
          <w:szCs w:val="24"/>
        </w:rPr>
        <w:t>received a domiciliary medication review from the VW-MMT</w:t>
      </w:r>
      <w:r w:rsidR="002711C7">
        <w:rPr>
          <w:rFonts w:ascii="Arial" w:hAnsi="Arial" w:cs="Arial"/>
          <w:sz w:val="24"/>
          <w:szCs w:val="24"/>
        </w:rPr>
        <w:t xml:space="preserve"> </w:t>
      </w:r>
      <w:r w:rsidR="00D929BA">
        <w:rPr>
          <w:rFonts w:ascii="Arial" w:hAnsi="Arial" w:cs="Arial"/>
          <w:sz w:val="24"/>
          <w:szCs w:val="24"/>
        </w:rPr>
        <w:t>following referral from the hospital</w:t>
      </w:r>
      <w:r w:rsidR="002711C7">
        <w:rPr>
          <w:rFonts w:ascii="Arial" w:hAnsi="Arial" w:cs="Arial"/>
          <w:sz w:val="24"/>
          <w:szCs w:val="24"/>
        </w:rPr>
        <w:t>.</w:t>
      </w:r>
    </w:p>
    <w:p w:rsidR="002711C7" w:rsidRDefault="002711C7" w:rsidP="008B6009">
      <w:pPr>
        <w:autoSpaceDE w:val="0"/>
        <w:autoSpaceDN w:val="0"/>
        <w:adjustRightInd w:val="0"/>
        <w:spacing w:after="0"/>
        <w:jc w:val="both"/>
        <w:rPr>
          <w:rFonts w:ascii="Arial" w:hAnsi="Arial" w:cs="Arial"/>
          <w:sz w:val="24"/>
          <w:szCs w:val="24"/>
          <w:u w:val="single"/>
        </w:rPr>
      </w:pPr>
      <w:r w:rsidRPr="002711C7">
        <w:rPr>
          <w:rFonts w:ascii="Arial" w:hAnsi="Arial" w:cs="Arial"/>
          <w:sz w:val="24"/>
          <w:szCs w:val="24"/>
          <w:u w:val="single"/>
        </w:rPr>
        <w:t>Reasons for referral</w:t>
      </w:r>
    </w:p>
    <w:p w:rsidR="002711C7" w:rsidRDefault="00C20F3A" w:rsidP="008B6009">
      <w:pPr>
        <w:autoSpaceDE w:val="0"/>
        <w:autoSpaceDN w:val="0"/>
        <w:adjustRightInd w:val="0"/>
        <w:jc w:val="both"/>
        <w:rPr>
          <w:rFonts w:ascii="Arial" w:hAnsi="Arial" w:cs="Arial"/>
          <w:sz w:val="24"/>
          <w:szCs w:val="24"/>
        </w:rPr>
      </w:pPr>
      <w:r>
        <w:rPr>
          <w:rFonts w:ascii="Arial" w:hAnsi="Arial" w:cs="Arial"/>
          <w:sz w:val="24"/>
          <w:szCs w:val="24"/>
        </w:rPr>
        <w:t>The</w:t>
      </w:r>
      <w:r w:rsidR="00E33442">
        <w:rPr>
          <w:rFonts w:ascii="Arial" w:hAnsi="Arial" w:cs="Arial"/>
          <w:sz w:val="24"/>
          <w:szCs w:val="24"/>
        </w:rPr>
        <w:t xml:space="preserve"> reasons for referral for all 21</w:t>
      </w:r>
      <w:r>
        <w:rPr>
          <w:rFonts w:ascii="Arial" w:hAnsi="Arial" w:cs="Arial"/>
          <w:sz w:val="24"/>
          <w:szCs w:val="24"/>
        </w:rPr>
        <w:t xml:space="preserve"> patients initially recruited to the service</w:t>
      </w:r>
      <w:r w:rsidR="00E33442">
        <w:rPr>
          <w:rFonts w:ascii="Arial" w:hAnsi="Arial" w:cs="Arial"/>
          <w:sz w:val="24"/>
          <w:szCs w:val="24"/>
        </w:rPr>
        <w:t xml:space="preserve"> (excluding the care home resident)</w:t>
      </w:r>
      <w:r>
        <w:rPr>
          <w:rFonts w:ascii="Arial" w:hAnsi="Arial" w:cs="Arial"/>
          <w:sz w:val="24"/>
          <w:szCs w:val="24"/>
        </w:rPr>
        <w:t xml:space="preserve"> are displayed in Figure 1.</w:t>
      </w:r>
      <w:r w:rsidR="00E33442">
        <w:rPr>
          <w:rFonts w:ascii="Arial" w:hAnsi="Arial" w:cs="Arial"/>
          <w:sz w:val="24"/>
          <w:szCs w:val="24"/>
        </w:rPr>
        <w:t xml:space="preserve">  Most patients had more than one reason for referr</w:t>
      </w:r>
      <w:r w:rsidR="00AF0272">
        <w:rPr>
          <w:rFonts w:ascii="Arial" w:hAnsi="Arial" w:cs="Arial"/>
          <w:sz w:val="24"/>
          <w:szCs w:val="24"/>
        </w:rPr>
        <w:t>al.</w:t>
      </w:r>
    </w:p>
    <w:p w:rsidR="00C20F3A" w:rsidRDefault="00E33442" w:rsidP="007D5CAB">
      <w:pPr>
        <w:autoSpaceDE w:val="0"/>
        <w:autoSpaceDN w:val="0"/>
        <w:adjustRightInd w:val="0"/>
        <w:rPr>
          <w:rFonts w:ascii="Arial" w:hAnsi="Arial" w:cs="Arial"/>
          <w:sz w:val="24"/>
          <w:szCs w:val="24"/>
        </w:rPr>
      </w:pPr>
      <w:r>
        <w:rPr>
          <w:noProof/>
          <w:lang w:eastAsia="en-GB"/>
        </w:rPr>
        <w:lastRenderedPageBreak/>
        <w:drawing>
          <wp:inline distT="0" distB="0" distL="0" distR="0" wp14:anchorId="446A820F" wp14:editId="16FAA0CD">
            <wp:extent cx="5943600" cy="3884930"/>
            <wp:effectExtent l="0" t="0" r="1905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7A94" w:rsidRPr="00F83F8E" w:rsidRDefault="00C07A94" w:rsidP="008B6009">
      <w:pPr>
        <w:autoSpaceDE w:val="0"/>
        <w:autoSpaceDN w:val="0"/>
        <w:adjustRightInd w:val="0"/>
        <w:spacing w:after="0"/>
        <w:jc w:val="both"/>
        <w:rPr>
          <w:rFonts w:ascii="Arial" w:hAnsi="Arial" w:cs="Arial"/>
          <w:sz w:val="24"/>
          <w:szCs w:val="24"/>
          <w:u w:val="single"/>
        </w:rPr>
      </w:pPr>
      <w:r w:rsidRPr="00F83F8E">
        <w:rPr>
          <w:rFonts w:ascii="Arial" w:hAnsi="Arial" w:cs="Arial"/>
          <w:sz w:val="24"/>
          <w:szCs w:val="24"/>
          <w:u w:val="single"/>
        </w:rPr>
        <w:t>Interventions</w:t>
      </w:r>
      <w:r w:rsidR="00DF1D79">
        <w:rPr>
          <w:rFonts w:ascii="Arial" w:hAnsi="Arial" w:cs="Arial"/>
          <w:sz w:val="24"/>
          <w:szCs w:val="24"/>
          <w:u w:val="single"/>
        </w:rPr>
        <w:t>: Nature</w:t>
      </w:r>
    </w:p>
    <w:p w:rsidR="00BB3C29" w:rsidRDefault="005E7214" w:rsidP="008B6009">
      <w:pPr>
        <w:autoSpaceDE w:val="0"/>
        <w:autoSpaceDN w:val="0"/>
        <w:adjustRightInd w:val="0"/>
        <w:jc w:val="both"/>
        <w:rPr>
          <w:rFonts w:ascii="Arial" w:hAnsi="Arial" w:cs="Arial"/>
          <w:sz w:val="24"/>
          <w:szCs w:val="24"/>
        </w:rPr>
      </w:pPr>
      <w:r>
        <w:rPr>
          <w:rFonts w:ascii="Arial" w:hAnsi="Arial" w:cs="Arial"/>
          <w:sz w:val="24"/>
          <w:szCs w:val="24"/>
        </w:rPr>
        <w:t>The number of patients receiving each type of intervention from the VW-MMT are summarised in Figure 2.  Some interventions were classified under more than one heading.</w:t>
      </w:r>
    </w:p>
    <w:p w:rsidR="005E7214" w:rsidRPr="005E7214" w:rsidRDefault="005E7214" w:rsidP="007D5CAB">
      <w:pPr>
        <w:autoSpaceDE w:val="0"/>
        <w:autoSpaceDN w:val="0"/>
        <w:adjustRightInd w:val="0"/>
        <w:rPr>
          <w:rFonts w:ascii="Arial" w:hAnsi="Arial" w:cs="Arial"/>
          <w:sz w:val="24"/>
          <w:szCs w:val="24"/>
        </w:rPr>
      </w:pPr>
      <w:r>
        <w:rPr>
          <w:noProof/>
          <w:lang w:eastAsia="en-GB"/>
        </w:rPr>
        <w:drawing>
          <wp:inline distT="0" distB="0" distL="0" distR="0" wp14:anchorId="3652127D" wp14:editId="4A9337E6">
            <wp:extent cx="5943600" cy="3877945"/>
            <wp:effectExtent l="0" t="0" r="19050"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7A94" w:rsidRDefault="0002397F" w:rsidP="008B6009">
      <w:pPr>
        <w:autoSpaceDE w:val="0"/>
        <w:autoSpaceDN w:val="0"/>
        <w:adjustRightInd w:val="0"/>
        <w:jc w:val="both"/>
        <w:rPr>
          <w:rFonts w:ascii="Arial" w:hAnsi="Arial" w:cs="Arial"/>
          <w:sz w:val="24"/>
        </w:rPr>
      </w:pPr>
      <w:r>
        <w:rPr>
          <w:rFonts w:ascii="Arial" w:hAnsi="Arial" w:cs="Arial"/>
          <w:sz w:val="24"/>
          <w:szCs w:val="24"/>
        </w:rPr>
        <w:lastRenderedPageBreak/>
        <w:t>All 16 patients visited received some form of education regarding their medicines and 87.5% received lifestyle advice, information regarding their medical condition or some other form of education regarding disease management.  Half of all patients were offered some form of medicines optimisation to make their regimen easier to manage.</w:t>
      </w:r>
      <w:r w:rsidR="00BA52C2">
        <w:rPr>
          <w:rFonts w:ascii="Arial" w:hAnsi="Arial" w:cs="Arial"/>
          <w:sz w:val="24"/>
          <w:szCs w:val="24"/>
        </w:rPr>
        <w:t xml:space="preserve">  </w:t>
      </w:r>
      <w:r w:rsidR="00CE5FE6">
        <w:rPr>
          <w:rFonts w:ascii="Arial" w:hAnsi="Arial" w:cs="Arial"/>
          <w:sz w:val="24"/>
          <w:szCs w:val="24"/>
        </w:rPr>
        <w:t>A third</w:t>
      </w:r>
      <w:r w:rsidR="00BA52C2">
        <w:rPr>
          <w:rFonts w:ascii="Arial" w:hAnsi="Arial" w:cs="Arial"/>
          <w:sz w:val="24"/>
          <w:szCs w:val="24"/>
        </w:rPr>
        <w:t xml:space="preserve"> </w:t>
      </w:r>
      <w:r w:rsidR="00CE5FE6">
        <w:rPr>
          <w:rFonts w:ascii="Arial" w:hAnsi="Arial" w:cs="Arial"/>
          <w:sz w:val="24"/>
          <w:szCs w:val="24"/>
        </w:rPr>
        <w:t>of all</w:t>
      </w:r>
      <w:r w:rsidR="00BA52C2">
        <w:rPr>
          <w:rFonts w:ascii="Arial" w:hAnsi="Arial" w:cs="Arial"/>
          <w:sz w:val="24"/>
          <w:szCs w:val="24"/>
        </w:rPr>
        <w:t xml:space="preserve"> interventions </w:t>
      </w:r>
      <w:r w:rsidR="00CE5FE6">
        <w:rPr>
          <w:rFonts w:ascii="Arial" w:hAnsi="Arial" w:cs="Arial"/>
          <w:sz w:val="24"/>
          <w:szCs w:val="24"/>
        </w:rPr>
        <w:t>w</w:t>
      </w:r>
      <w:r w:rsidR="00BA52C2">
        <w:rPr>
          <w:rFonts w:ascii="Arial" w:hAnsi="Arial" w:cs="Arial"/>
          <w:sz w:val="24"/>
          <w:szCs w:val="24"/>
        </w:rPr>
        <w:t xml:space="preserve">ere classed as ‘critical’ by the VW-MMT.  </w:t>
      </w:r>
    </w:p>
    <w:p w:rsidR="00DF1D79" w:rsidRPr="00F83F8E" w:rsidRDefault="00DF1D79" w:rsidP="008B6009">
      <w:pPr>
        <w:autoSpaceDE w:val="0"/>
        <w:autoSpaceDN w:val="0"/>
        <w:adjustRightInd w:val="0"/>
        <w:spacing w:after="0"/>
        <w:jc w:val="both"/>
        <w:rPr>
          <w:rFonts w:ascii="Arial" w:hAnsi="Arial" w:cs="Arial"/>
          <w:sz w:val="24"/>
          <w:szCs w:val="24"/>
          <w:u w:val="single"/>
        </w:rPr>
      </w:pPr>
      <w:r w:rsidRPr="00F83F8E">
        <w:rPr>
          <w:rFonts w:ascii="Arial" w:hAnsi="Arial" w:cs="Arial"/>
          <w:sz w:val="24"/>
          <w:szCs w:val="24"/>
          <w:u w:val="single"/>
        </w:rPr>
        <w:t>Interventions</w:t>
      </w:r>
      <w:r>
        <w:rPr>
          <w:rFonts w:ascii="Arial" w:hAnsi="Arial" w:cs="Arial"/>
          <w:sz w:val="24"/>
          <w:szCs w:val="24"/>
          <w:u w:val="single"/>
        </w:rPr>
        <w:t>: Clinical significance</w:t>
      </w:r>
    </w:p>
    <w:p w:rsidR="00DF1D79" w:rsidRDefault="00DF1D79" w:rsidP="008B6009">
      <w:pPr>
        <w:autoSpaceDE w:val="0"/>
        <w:autoSpaceDN w:val="0"/>
        <w:adjustRightInd w:val="0"/>
        <w:spacing w:after="0"/>
        <w:jc w:val="both"/>
        <w:rPr>
          <w:rFonts w:ascii="Arial" w:hAnsi="Arial" w:cs="Arial"/>
          <w:sz w:val="24"/>
        </w:rPr>
      </w:pPr>
      <w:r>
        <w:rPr>
          <w:rFonts w:ascii="Arial" w:hAnsi="Arial" w:cs="Arial"/>
          <w:sz w:val="24"/>
        </w:rPr>
        <w:t>All Delphi panel members returned Round One surveys, and, following analysis of these, were sent a Round Two survey.  Six participants (all 4 pharmacists, one hospital doctor and one GP) returned Round Two surveys.</w:t>
      </w:r>
    </w:p>
    <w:p w:rsidR="00DF1D79" w:rsidRDefault="00DF1D79" w:rsidP="008B6009">
      <w:pPr>
        <w:autoSpaceDE w:val="0"/>
        <w:autoSpaceDN w:val="0"/>
        <w:adjustRightInd w:val="0"/>
        <w:spacing w:after="0"/>
        <w:jc w:val="both"/>
        <w:rPr>
          <w:rFonts w:ascii="Arial" w:hAnsi="Arial" w:cs="Arial"/>
          <w:sz w:val="24"/>
        </w:rPr>
      </w:pPr>
    </w:p>
    <w:p w:rsidR="00DF1D79" w:rsidRDefault="00DF1D79" w:rsidP="008B6009">
      <w:pPr>
        <w:autoSpaceDE w:val="0"/>
        <w:autoSpaceDN w:val="0"/>
        <w:adjustRightInd w:val="0"/>
        <w:spacing w:after="0"/>
        <w:jc w:val="both"/>
        <w:rPr>
          <w:rFonts w:ascii="Arial" w:hAnsi="Arial" w:cs="Arial"/>
          <w:sz w:val="24"/>
        </w:rPr>
      </w:pPr>
      <w:r>
        <w:rPr>
          <w:rFonts w:ascii="Arial" w:hAnsi="Arial" w:cs="Arial"/>
          <w:sz w:val="24"/>
        </w:rPr>
        <w:t>Following Round Two, &gt;75% agreement in scores was achieved for 12 of the 20 interventions.  When the percentage change</w:t>
      </w:r>
      <w:r w:rsidR="0035521C">
        <w:rPr>
          <w:rFonts w:ascii="Arial" w:hAnsi="Arial" w:cs="Arial"/>
          <w:sz w:val="24"/>
        </w:rPr>
        <w:t>s</w:t>
      </w:r>
      <w:r>
        <w:rPr>
          <w:rFonts w:ascii="Arial" w:hAnsi="Arial" w:cs="Arial"/>
          <w:sz w:val="24"/>
        </w:rPr>
        <w:t xml:space="preserve"> in each intervention’s mean score between Rounds One and Two were calculated, </w:t>
      </w:r>
      <w:r w:rsidR="00E53F1D">
        <w:rPr>
          <w:rFonts w:ascii="Arial" w:hAnsi="Arial" w:cs="Arial"/>
          <w:sz w:val="24"/>
        </w:rPr>
        <w:t>the variation was less than 15%</w:t>
      </w:r>
      <w:r>
        <w:rPr>
          <w:rFonts w:ascii="Arial" w:hAnsi="Arial" w:cs="Arial"/>
          <w:sz w:val="24"/>
        </w:rPr>
        <w:t xml:space="preserve"> for all</w:t>
      </w:r>
      <w:r w:rsidR="0035521C">
        <w:rPr>
          <w:rFonts w:ascii="Arial" w:hAnsi="Arial" w:cs="Arial"/>
          <w:sz w:val="24"/>
        </w:rPr>
        <w:t xml:space="preserve"> interventions</w:t>
      </w:r>
      <w:r>
        <w:rPr>
          <w:rFonts w:ascii="Arial" w:hAnsi="Arial" w:cs="Arial"/>
          <w:sz w:val="24"/>
        </w:rPr>
        <w:t>.  This indicated that participants were not likely to alter their scores very much if a third round was undertaken and there was a risk of further drop-outs.  A decision was therefore made not to progress to Round 3.</w:t>
      </w:r>
    </w:p>
    <w:p w:rsidR="00DF1D79" w:rsidRDefault="00DF1D79" w:rsidP="008B6009">
      <w:pPr>
        <w:autoSpaceDE w:val="0"/>
        <w:autoSpaceDN w:val="0"/>
        <w:adjustRightInd w:val="0"/>
        <w:spacing w:after="0"/>
        <w:jc w:val="both"/>
        <w:rPr>
          <w:rFonts w:ascii="Arial" w:hAnsi="Arial" w:cs="Arial"/>
          <w:sz w:val="24"/>
        </w:rPr>
      </w:pPr>
    </w:p>
    <w:p w:rsidR="00DF1D79" w:rsidRDefault="00DF1D79" w:rsidP="008B6009">
      <w:pPr>
        <w:autoSpaceDE w:val="0"/>
        <w:autoSpaceDN w:val="0"/>
        <w:adjustRightInd w:val="0"/>
        <w:spacing w:after="0"/>
        <w:jc w:val="both"/>
        <w:rPr>
          <w:rFonts w:ascii="Arial" w:hAnsi="Arial" w:cs="Arial"/>
          <w:sz w:val="24"/>
          <w:szCs w:val="20"/>
        </w:rPr>
      </w:pPr>
      <w:r>
        <w:rPr>
          <w:rFonts w:ascii="Arial" w:hAnsi="Arial" w:cs="Arial"/>
          <w:sz w:val="24"/>
          <w:szCs w:val="20"/>
        </w:rPr>
        <w:t xml:space="preserve">The mean score awarded each intervention was taken as the final estimate of the significance of that intervention. </w:t>
      </w:r>
      <w:r w:rsidR="0035521C">
        <w:rPr>
          <w:rFonts w:ascii="Arial" w:hAnsi="Arial" w:cs="Arial"/>
          <w:sz w:val="24"/>
          <w:szCs w:val="20"/>
        </w:rPr>
        <w:t xml:space="preserve"> Scores were rounded to the nearest whole number</w:t>
      </w:r>
      <w:r>
        <w:rPr>
          <w:rFonts w:ascii="Arial" w:hAnsi="Arial" w:cs="Arial"/>
          <w:sz w:val="24"/>
          <w:szCs w:val="20"/>
        </w:rPr>
        <w:t xml:space="preserve"> to allow a value to be assigned to that inte</w:t>
      </w:r>
      <w:r w:rsidR="000676F3">
        <w:rPr>
          <w:rFonts w:ascii="Arial" w:hAnsi="Arial" w:cs="Arial"/>
          <w:sz w:val="24"/>
          <w:szCs w:val="20"/>
        </w:rPr>
        <w:t>rvention using the</w:t>
      </w:r>
      <w:r w:rsidR="00E53F1D">
        <w:rPr>
          <w:rFonts w:ascii="Arial" w:hAnsi="Arial" w:cs="Arial"/>
          <w:sz w:val="24"/>
          <w:szCs w:val="20"/>
        </w:rPr>
        <w:t xml:space="preserve"> Eadon-</w:t>
      </w:r>
      <w:r w:rsidR="000676F3">
        <w:rPr>
          <w:rFonts w:ascii="Arial" w:hAnsi="Arial" w:cs="Arial"/>
          <w:sz w:val="24"/>
          <w:szCs w:val="20"/>
        </w:rPr>
        <w:t>ScHARR model (Table 2).</w:t>
      </w:r>
    </w:p>
    <w:p w:rsidR="00873C26" w:rsidRDefault="00873C26" w:rsidP="00873C26">
      <w:pPr>
        <w:autoSpaceDE w:val="0"/>
        <w:autoSpaceDN w:val="0"/>
        <w:adjustRightInd w:val="0"/>
        <w:rPr>
          <w:rFonts w:ascii="Arial" w:hAnsi="Arial" w:cs="Arial"/>
          <w:sz w:val="24"/>
        </w:rPr>
      </w:pPr>
    </w:p>
    <w:p w:rsidR="0035521C" w:rsidRPr="00DA545E" w:rsidRDefault="0035521C" w:rsidP="004325EB">
      <w:pPr>
        <w:autoSpaceDE w:val="0"/>
        <w:autoSpaceDN w:val="0"/>
        <w:adjustRightInd w:val="0"/>
        <w:spacing w:after="0"/>
        <w:rPr>
          <w:rFonts w:ascii="Arial" w:hAnsi="Arial" w:cs="Arial"/>
          <w:b/>
          <w:szCs w:val="20"/>
        </w:rPr>
      </w:pPr>
      <w:r w:rsidRPr="00DA545E">
        <w:rPr>
          <w:rFonts w:ascii="Arial" w:hAnsi="Arial" w:cs="Arial"/>
          <w:b/>
          <w:szCs w:val="20"/>
        </w:rPr>
        <w:t>Table</w:t>
      </w:r>
      <w:r>
        <w:rPr>
          <w:rFonts w:ascii="Arial" w:hAnsi="Arial" w:cs="Arial"/>
          <w:b/>
          <w:szCs w:val="20"/>
        </w:rPr>
        <w:t xml:space="preserve"> 2: clinical significance of 20</w:t>
      </w:r>
      <w:r w:rsidRPr="00DA545E">
        <w:rPr>
          <w:rFonts w:ascii="Arial" w:hAnsi="Arial" w:cs="Arial"/>
          <w:b/>
          <w:szCs w:val="20"/>
        </w:rPr>
        <w:t xml:space="preserve"> interventions made by </w:t>
      </w:r>
      <w:r>
        <w:rPr>
          <w:rFonts w:ascii="Arial" w:hAnsi="Arial" w:cs="Arial"/>
          <w:b/>
          <w:szCs w:val="20"/>
        </w:rPr>
        <w:t>the VW-MMT</w:t>
      </w:r>
      <w:r w:rsidRPr="00DA545E">
        <w:rPr>
          <w:rFonts w:ascii="Arial" w:hAnsi="Arial" w:cs="Arial"/>
          <w:b/>
          <w:szCs w:val="20"/>
        </w:rPr>
        <w:t xml:space="preserve"> during </w:t>
      </w:r>
      <w:r>
        <w:rPr>
          <w:rFonts w:ascii="Arial" w:hAnsi="Arial" w:cs="Arial"/>
          <w:b/>
          <w:szCs w:val="20"/>
        </w:rPr>
        <w:t xml:space="preserve">post discharge domiciliary medication reviews, and </w:t>
      </w:r>
      <w:r w:rsidRPr="00DA545E">
        <w:rPr>
          <w:rFonts w:ascii="Arial" w:hAnsi="Arial" w:cs="Arial"/>
          <w:b/>
          <w:szCs w:val="20"/>
        </w:rPr>
        <w:t>associated cost avoidance</w:t>
      </w:r>
    </w:p>
    <w:tbl>
      <w:tblPr>
        <w:tblStyle w:val="TableGrid"/>
        <w:tblW w:w="0" w:type="auto"/>
        <w:tblLook w:val="04A0" w:firstRow="1" w:lastRow="0" w:firstColumn="1" w:lastColumn="0" w:noHBand="0" w:noVBand="1"/>
      </w:tblPr>
      <w:tblGrid>
        <w:gridCol w:w="6629"/>
        <w:gridCol w:w="1134"/>
        <w:gridCol w:w="2199"/>
      </w:tblGrid>
      <w:tr w:rsidR="0035521C" w:rsidTr="00873C26">
        <w:tc>
          <w:tcPr>
            <w:tcW w:w="6629" w:type="dxa"/>
            <w:shd w:val="clear" w:color="auto" w:fill="D9D9D9" w:themeFill="background1" w:themeFillShade="D9"/>
          </w:tcPr>
          <w:p w:rsidR="0035521C" w:rsidRPr="00DF4D47" w:rsidRDefault="0035521C" w:rsidP="00483552">
            <w:pPr>
              <w:autoSpaceDE w:val="0"/>
              <w:autoSpaceDN w:val="0"/>
              <w:adjustRightInd w:val="0"/>
              <w:rPr>
                <w:rFonts w:ascii="Arial" w:hAnsi="Arial" w:cs="Arial"/>
                <w:b/>
                <w:sz w:val="24"/>
                <w:szCs w:val="20"/>
              </w:rPr>
            </w:pPr>
            <w:r w:rsidRPr="00DF4D47">
              <w:rPr>
                <w:rFonts w:ascii="Arial" w:hAnsi="Arial" w:cs="Arial"/>
                <w:b/>
                <w:sz w:val="24"/>
                <w:szCs w:val="20"/>
              </w:rPr>
              <w:t>Intervention</w:t>
            </w:r>
          </w:p>
        </w:tc>
        <w:tc>
          <w:tcPr>
            <w:tcW w:w="1134" w:type="dxa"/>
            <w:shd w:val="clear" w:color="auto" w:fill="D9D9D9" w:themeFill="background1" w:themeFillShade="D9"/>
          </w:tcPr>
          <w:p w:rsidR="0035521C" w:rsidRPr="00DF4D47" w:rsidRDefault="0035521C" w:rsidP="00483552">
            <w:pPr>
              <w:autoSpaceDE w:val="0"/>
              <w:autoSpaceDN w:val="0"/>
              <w:adjustRightInd w:val="0"/>
              <w:rPr>
                <w:rFonts w:ascii="Arial" w:hAnsi="Arial" w:cs="Arial"/>
                <w:b/>
                <w:sz w:val="24"/>
                <w:szCs w:val="20"/>
              </w:rPr>
            </w:pPr>
            <w:r w:rsidRPr="00DF4D47">
              <w:rPr>
                <w:rFonts w:ascii="Arial" w:hAnsi="Arial" w:cs="Arial"/>
                <w:b/>
                <w:sz w:val="24"/>
                <w:szCs w:val="20"/>
              </w:rPr>
              <w:t>Eadon Score</w:t>
            </w:r>
          </w:p>
        </w:tc>
        <w:tc>
          <w:tcPr>
            <w:tcW w:w="2199" w:type="dxa"/>
            <w:shd w:val="clear" w:color="auto" w:fill="D9D9D9" w:themeFill="background1" w:themeFillShade="D9"/>
          </w:tcPr>
          <w:p w:rsidR="0035521C" w:rsidRPr="00DF4D47" w:rsidRDefault="0035521C" w:rsidP="00483552">
            <w:pPr>
              <w:autoSpaceDE w:val="0"/>
              <w:autoSpaceDN w:val="0"/>
              <w:adjustRightInd w:val="0"/>
              <w:rPr>
                <w:rFonts w:ascii="Arial" w:hAnsi="Arial" w:cs="Arial"/>
                <w:b/>
                <w:sz w:val="24"/>
                <w:szCs w:val="20"/>
              </w:rPr>
            </w:pPr>
            <w:r w:rsidRPr="00DF4D47">
              <w:rPr>
                <w:rFonts w:ascii="Arial" w:hAnsi="Arial" w:cs="Arial"/>
                <w:b/>
                <w:sz w:val="24"/>
                <w:szCs w:val="20"/>
              </w:rPr>
              <w:t>ScHARR Cost Avoidance</w:t>
            </w:r>
            <w:r>
              <w:rPr>
                <w:rFonts w:ascii="Arial" w:hAnsi="Arial" w:cs="Arial"/>
                <w:b/>
                <w:sz w:val="24"/>
                <w:szCs w:val="20"/>
              </w:rPr>
              <w:t xml:space="preserve"> (£)</w:t>
            </w:r>
          </w:p>
        </w:tc>
      </w:tr>
      <w:tr w:rsidR="0035521C" w:rsidTr="00873C26">
        <w:tc>
          <w:tcPr>
            <w:tcW w:w="6629" w:type="dxa"/>
          </w:tcPr>
          <w:p w:rsidR="0035521C" w:rsidRPr="00CA030F" w:rsidRDefault="0035521C" w:rsidP="00873C26">
            <w:pPr>
              <w:pStyle w:val="ListParagraph"/>
              <w:numPr>
                <w:ilvl w:val="0"/>
                <w:numId w:val="17"/>
              </w:numPr>
              <w:autoSpaceDE w:val="0"/>
              <w:autoSpaceDN w:val="0"/>
              <w:adjustRightInd w:val="0"/>
              <w:rPr>
                <w:rFonts w:ascii="Arial" w:hAnsi="Arial" w:cs="Arial"/>
                <w:sz w:val="20"/>
                <w:szCs w:val="20"/>
              </w:rPr>
            </w:pPr>
            <w:r w:rsidRPr="00CA030F">
              <w:rPr>
                <w:rFonts w:ascii="Arial" w:hAnsi="Arial" w:cs="Arial"/>
                <w:sz w:val="20"/>
                <w:szCs w:val="20"/>
              </w:rPr>
              <w:t>Patient started on dabigatran in hospital, warfarin stock removed from home</w:t>
            </w:r>
          </w:p>
        </w:tc>
        <w:tc>
          <w:tcPr>
            <w:tcW w:w="1134" w:type="dxa"/>
          </w:tcPr>
          <w:p w:rsidR="0035521C" w:rsidRDefault="0035521C"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autoSpaceDE w:val="0"/>
              <w:autoSpaceDN w:val="0"/>
              <w:adjustRightInd w:val="0"/>
              <w:rPr>
                <w:rFonts w:ascii="Arial" w:hAnsi="Arial" w:cs="Arial"/>
                <w:sz w:val="20"/>
                <w:szCs w:val="20"/>
              </w:rPr>
            </w:pPr>
            <w:r w:rsidRPr="00CA030F">
              <w:rPr>
                <w:rFonts w:ascii="Arial" w:hAnsi="Arial" w:cs="Arial"/>
                <w:sz w:val="20"/>
                <w:szCs w:val="20"/>
              </w:rPr>
              <w:t>Patient had been using Relvar &amp; Incruse inhalers twice daily as directed by hospital discharge summary instead of once a day.  Advised patient to only use once a day</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autoSpaceDE w:val="0"/>
              <w:autoSpaceDN w:val="0"/>
              <w:adjustRightInd w:val="0"/>
              <w:rPr>
                <w:rFonts w:ascii="Arial" w:hAnsi="Arial" w:cs="Arial"/>
                <w:sz w:val="20"/>
                <w:szCs w:val="20"/>
              </w:rPr>
            </w:pPr>
            <w:r w:rsidRPr="00CA030F">
              <w:rPr>
                <w:rFonts w:ascii="Arial" w:hAnsi="Arial" w:cs="Arial"/>
                <w:sz w:val="20"/>
                <w:szCs w:val="20"/>
              </w:rPr>
              <w:t>Patient was omitting all medicines (allopurinol, atorvastain, carbocisteine, sodium bicarbonate, levothyroxine, lansoprazole, apixaban).  No package of care arranged by AUH as patient had son at home.  However son had left and patient had no care.  Referred to Crisis team.  Medicines stopped as no longer clinically indicated: Allopurinol, Carbocisteine &amp; Ketovite</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5</w:t>
            </w:r>
          </w:p>
        </w:tc>
        <w:tc>
          <w:tcPr>
            <w:tcW w:w="2199" w:type="dxa"/>
          </w:tcPr>
          <w:p w:rsidR="0035521C" w:rsidRDefault="001A2FC3" w:rsidP="001A2FC3">
            <w:pPr>
              <w:autoSpaceDE w:val="0"/>
              <w:autoSpaceDN w:val="0"/>
              <w:adjustRightInd w:val="0"/>
              <w:jc w:val="center"/>
              <w:rPr>
                <w:rFonts w:ascii="Arial" w:hAnsi="Arial" w:cs="Arial"/>
                <w:sz w:val="24"/>
                <w:szCs w:val="20"/>
              </w:rPr>
            </w:pPr>
            <w:r>
              <w:rPr>
                <w:rFonts w:ascii="Arial" w:hAnsi="Arial" w:cs="Arial"/>
                <w:sz w:val="24"/>
                <w:szCs w:val="20"/>
              </w:rPr>
              <w:t>713-1484</w:t>
            </w:r>
          </w:p>
        </w:tc>
      </w:tr>
      <w:tr w:rsidR="0035521C" w:rsidTr="00873C26">
        <w:tc>
          <w:tcPr>
            <w:tcW w:w="6629" w:type="dxa"/>
          </w:tcPr>
          <w:p w:rsidR="0035521C" w:rsidRPr="00CA030F" w:rsidRDefault="00CA030F" w:rsidP="00873C26">
            <w:pPr>
              <w:pStyle w:val="ListParagraph"/>
              <w:numPr>
                <w:ilvl w:val="0"/>
                <w:numId w:val="17"/>
              </w:numPr>
              <w:autoSpaceDE w:val="0"/>
              <w:autoSpaceDN w:val="0"/>
              <w:adjustRightInd w:val="0"/>
              <w:rPr>
                <w:rFonts w:ascii="Arial" w:hAnsi="Arial" w:cs="Arial"/>
                <w:sz w:val="20"/>
                <w:szCs w:val="20"/>
              </w:rPr>
            </w:pPr>
            <w:r w:rsidRPr="00CA030F">
              <w:rPr>
                <w:rFonts w:ascii="Arial" w:hAnsi="Arial" w:cs="Arial"/>
                <w:sz w:val="20"/>
                <w:szCs w:val="20"/>
              </w:rPr>
              <w:t>Clarified lamotrigine titration dose</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ind w:left="357" w:hanging="357"/>
              <w:rPr>
                <w:rFonts w:ascii="Arial" w:hAnsi="Arial" w:cs="Arial"/>
                <w:sz w:val="20"/>
                <w:szCs w:val="20"/>
              </w:rPr>
            </w:pPr>
            <w:r w:rsidRPr="00CA030F">
              <w:rPr>
                <w:rFonts w:ascii="Arial" w:hAnsi="Arial" w:cs="Arial"/>
                <w:sz w:val="20"/>
                <w:szCs w:val="20"/>
              </w:rPr>
              <w:t xml:space="preserve">Query over darifenacin, GP confirmed should have stopped this November 2016 however, patient had excess stock and was still taking it </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9E0228" w:rsidRDefault="00CA030F" w:rsidP="00873C26">
            <w:pPr>
              <w:pStyle w:val="ListParagraph"/>
              <w:numPr>
                <w:ilvl w:val="0"/>
                <w:numId w:val="17"/>
              </w:numPr>
              <w:rPr>
                <w:rFonts w:ascii="Arial" w:hAnsi="Arial" w:cs="Arial"/>
                <w:sz w:val="20"/>
                <w:szCs w:val="20"/>
              </w:rPr>
            </w:pPr>
            <w:r w:rsidRPr="00CA030F">
              <w:rPr>
                <w:rFonts w:ascii="Arial" w:hAnsi="Arial" w:cs="Arial"/>
                <w:sz w:val="20"/>
              </w:rPr>
              <w:t>Fluoxetine stopped and sertraline started as per mental health team (letter had been at GP surg</w:t>
            </w:r>
            <w:r>
              <w:rPr>
                <w:rFonts w:ascii="Arial" w:hAnsi="Arial" w:cs="Arial"/>
                <w:sz w:val="20"/>
              </w:rPr>
              <w:t>ery for 1 week but not actioned)</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autoSpaceDE w:val="0"/>
              <w:autoSpaceDN w:val="0"/>
              <w:adjustRightInd w:val="0"/>
              <w:rPr>
                <w:sz w:val="20"/>
                <w:szCs w:val="20"/>
              </w:rPr>
            </w:pPr>
            <w:r w:rsidRPr="00CA030F">
              <w:rPr>
                <w:rFonts w:ascii="Arial" w:hAnsi="Arial" w:cs="Arial"/>
                <w:sz w:val="20"/>
              </w:rPr>
              <w:t>Patient given generic orodispersible lansoprazole from hospital, however requested branded Zoton due to previous intolerance to generic.  Prescription changed to brand.</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autoSpaceDE w:val="0"/>
              <w:autoSpaceDN w:val="0"/>
              <w:adjustRightInd w:val="0"/>
              <w:rPr>
                <w:sz w:val="20"/>
                <w:szCs w:val="20"/>
              </w:rPr>
            </w:pPr>
            <w:r w:rsidRPr="00CA030F">
              <w:rPr>
                <w:rFonts w:ascii="Arial" w:hAnsi="Arial" w:cs="Arial"/>
                <w:sz w:val="20"/>
              </w:rPr>
              <w:t>Aspirin stopped by hospital as started warfarin.  Both items were on the patients repeat medication at GP surgery and prescriptions were being issued.  (Patient had NOT been taking aspirin as was aware of change and advice from hospital).</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3</w:t>
            </w:r>
          </w:p>
        </w:tc>
        <w:tc>
          <w:tcPr>
            <w:tcW w:w="2199" w:type="dxa"/>
          </w:tcPr>
          <w:p w:rsidR="0035521C" w:rsidRDefault="001A2FC3" w:rsidP="001A2FC3">
            <w:pPr>
              <w:autoSpaceDE w:val="0"/>
              <w:autoSpaceDN w:val="0"/>
              <w:adjustRightInd w:val="0"/>
              <w:jc w:val="center"/>
              <w:rPr>
                <w:rFonts w:ascii="Arial" w:hAnsi="Arial" w:cs="Arial"/>
                <w:sz w:val="24"/>
                <w:szCs w:val="20"/>
              </w:rPr>
            </w:pPr>
            <w:r>
              <w:rPr>
                <w:rFonts w:ascii="Arial" w:hAnsi="Arial" w:cs="Arial"/>
                <w:sz w:val="24"/>
                <w:szCs w:val="20"/>
              </w:rPr>
              <w:t>0-6</w:t>
            </w:r>
          </w:p>
        </w:tc>
      </w:tr>
      <w:tr w:rsidR="0035521C" w:rsidTr="00873C26">
        <w:tc>
          <w:tcPr>
            <w:tcW w:w="6629" w:type="dxa"/>
          </w:tcPr>
          <w:p w:rsidR="0035521C" w:rsidRPr="00CA030F" w:rsidRDefault="00CA030F" w:rsidP="00873C26">
            <w:pPr>
              <w:pStyle w:val="ListParagraph"/>
              <w:numPr>
                <w:ilvl w:val="0"/>
                <w:numId w:val="17"/>
              </w:numPr>
              <w:autoSpaceDE w:val="0"/>
              <w:autoSpaceDN w:val="0"/>
              <w:adjustRightInd w:val="0"/>
              <w:rPr>
                <w:sz w:val="20"/>
                <w:szCs w:val="20"/>
              </w:rPr>
            </w:pPr>
            <w:r w:rsidRPr="00CA030F">
              <w:rPr>
                <w:rFonts w:ascii="Arial" w:hAnsi="Arial" w:cs="Arial"/>
                <w:sz w:val="20"/>
              </w:rPr>
              <w:lastRenderedPageBreak/>
              <w:t>Request from hospital to switch from amlodipine to doxazosin had not been actioned by GP.  Switch completed after matter raised by medicines management team.  Follow-up BP monitoring co-ordinated</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rPr>
                <w:rFonts w:ascii="Arial" w:hAnsi="Arial" w:cs="Arial"/>
                <w:sz w:val="20"/>
              </w:rPr>
            </w:pPr>
            <w:r w:rsidRPr="00CA030F">
              <w:rPr>
                <w:rFonts w:ascii="Arial" w:hAnsi="Arial" w:cs="Arial"/>
                <w:sz w:val="20"/>
              </w:rPr>
              <w:t>Assessed for blister packs (wife as carer was struggling to manage patient’s meds) and co-ordinated delivery (new prescription generated by GP surgery but not picked up by community pharmacy, meaning wife was continuing to struggle using previous supply of boxed medication).</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rPr>
                <w:rFonts w:ascii="Arial" w:hAnsi="Arial" w:cs="Arial"/>
                <w:sz w:val="20"/>
              </w:rPr>
            </w:pPr>
            <w:r w:rsidRPr="00CA030F">
              <w:rPr>
                <w:rFonts w:ascii="Arial" w:hAnsi="Arial" w:cs="Arial"/>
                <w:sz w:val="20"/>
              </w:rPr>
              <w:t>Patient not using tiotropium or salbutamol easibreathe and inhaler technique poor.  Discussed with GP: stopped tiotropium for now and amended salbutamol to mdi plus spacer with mask.  Patient shown how to use device and spacer and technique checked.</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autoSpaceDE w:val="0"/>
              <w:autoSpaceDN w:val="0"/>
              <w:adjustRightInd w:val="0"/>
              <w:rPr>
                <w:rFonts w:ascii="Arial" w:hAnsi="Arial" w:cs="Arial"/>
                <w:sz w:val="20"/>
                <w:szCs w:val="20"/>
              </w:rPr>
            </w:pPr>
            <w:r w:rsidRPr="00CA030F">
              <w:rPr>
                <w:rFonts w:ascii="Arial" w:hAnsi="Arial" w:cs="Arial"/>
                <w:sz w:val="20"/>
              </w:rPr>
              <w:t>Medicines stopped as no longer clinically indicated: Senna, Peppermint Oil, Lansoprazole, Gabapentin, Simvastatin, Adcal</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CA030F" w:rsidRDefault="00CA030F" w:rsidP="00873C26">
            <w:pPr>
              <w:pStyle w:val="ListParagraph"/>
              <w:numPr>
                <w:ilvl w:val="0"/>
                <w:numId w:val="17"/>
              </w:numPr>
              <w:rPr>
                <w:rFonts w:ascii="Arial" w:hAnsi="Arial" w:cs="Arial"/>
                <w:sz w:val="20"/>
              </w:rPr>
            </w:pPr>
            <w:r w:rsidRPr="00CA030F">
              <w:rPr>
                <w:rFonts w:ascii="Arial" w:hAnsi="Arial" w:cs="Arial"/>
                <w:sz w:val="20"/>
              </w:rPr>
              <w:t>Ramipril 10mg in blister pack despite being stopped by hospital due to AKI. Spoke to GP - agreed stop and do BP &amp; bloods. Patient told to omit ramipril.  BP high, reported back to GP and amlodipine started. Follow-up BP monitoring co-ordinated</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5</w:t>
            </w:r>
          </w:p>
        </w:tc>
        <w:tc>
          <w:tcPr>
            <w:tcW w:w="2199" w:type="dxa"/>
          </w:tcPr>
          <w:p w:rsidR="0035521C" w:rsidRDefault="001A2FC3" w:rsidP="001A2FC3">
            <w:pPr>
              <w:autoSpaceDE w:val="0"/>
              <w:autoSpaceDN w:val="0"/>
              <w:adjustRightInd w:val="0"/>
              <w:jc w:val="center"/>
              <w:rPr>
                <w:rFonts w:ascii="Arial" w:hAnsi="Arial" w:cs="Arial"/>
                <w:sz w:val="24"/>
                <w:szCs w:val="20"/>
              </w:rPr>
            </w:pPr>
            <w:r>
              <w:rPr>
                <w:rFonts w:ascii="Arial" w:hAnsi="Arial" w:cs="Arial"/>
                <w:sz w:val="24"/>
                <w:szCs w:val="20"/>
              </w:rPr>
              <w:t>713-1484</w:t>
            </w:r>
          </w:p>
        </w:tc>
      </w:tr>
      <w:tr w:rsidR="0035521C" w:rsidTr="00873C26">
        <w:tc>
          <w:tcPr>
            <w:tcW w:w="6629" w:type="dxa"/>
          </w:tcPr>
          <w:p w:rsidR="0035521C" w:rsidRPr="00CA030F" w:rsidRDefault="00CA030F" w:rsidP="00873C26">
            <w:pPr>
              <w:pStyle w:val="ListParagraph"/>
              <w:numPr>
                <w:ilvl w:val="0"/>
                <w:numId w:val="17"/>
              </w:numPr>
              <w:rPr>
                <w:rFonts w:ascii="Arial" w:hAnsi="Arial" w:cs="Arial"/>
                <w:sz w:val="20"/>
                <w:szCs w:val="20"/>
              </w:rPr>
            </w:pPr>
            <w:r w:rsidRPr="00CA030F">
              <w:rPr>
                <w:rFonts w:ascii="Arial" w:hAnsi="Arial" w:cs="Arial"/>
                <w:sz w:val="20"/>
              </w:rPr>
              <w:t>Patient unwell during visit - task sent to GP requesting home visit.  GP attended same day and patient re-admitted.  (Readmission likely to have happened anyway however occurred earlier with the intervention).</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9E0228" w:rsidRDefault="00CA030F" w:rsidP="00873C26">
            <w:pPr>
              <w:pStyle w:val="ListParagraph"/>
              <w:numPr>
                <w:ilvl w:val="0"/>
                <w:numId w:val="17"/>
              </w:numPr>
              <w:autoSpaceDE w:val="0"/>
              <w:autoSpaceDN w:val="0"/>
              <w:adjustRightInd w:val="0"/>
              <w:rPr>
                <w:sz w:val="20"/>
                <w:szCs w:val="20"/>
              </w:rPr>
            </w:pPr>
            <w:r w:rsidRPr="00CA030F">
              <w:rPr>
                <w:rFonts w:ascii="Arial" w:hAnsi="Arial" w:cs="Arial"/>
                <w:sz w:val="20"/>
              </w:rPr>
              <w:t>Patient had Gabapentin increased to four times daily in hospital.  Patient wanted to remain on three times daily – discussed with GP who adjusted.</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3</w:t>
            </w:r>
          </w:p>
        </w:tc>
        <w:tc>
          <w:tcPr>
            <w:tcW w:w="2199" w:type="dxa"/>
          </w:tcPr>
          <w:p w:rsidR="0035521C" w:rsidRDefault="001A2FC3" w:rsidP="001A2FC3">
            <w:pPr>
              <w:autoSpaceDE w:val="0"/>
              <w:autoSpaceDN w:val="0"/>
              <w:adjustRightInd w:val="0"/>
              <w:jc w:val="center"/>
              <w:rPr>
                <w:rFonts w:ascii="Arial" w:hAnsi="Arial" w:cs="Arial"/>
                <w:sz w:val="24"/>
                <w:szCs w:val="20"/>
              </w:rPr>
            </w:pPr>
            <w:r>
              <w:rPr>
                <w:rFonts w:ascii="Arial" w:hAnsi="Arial" w:cs="Arial"/>
                <w:sz w:val="24"/>
                <w:szCs w:val="20"/>
              </w:rPr>
              <w:t>0-6</w:t>
            </w:r>
          </w:p>
        </w:tc>
      </w:tr>
      <w:tr w:rsidR="0035521C" w:rsidTr="00873C26">
        <w:tc>
          <w:tcPr>
            <w:tcW w:w="6629" w:type="dxa"/>
          </w:tcPr>
          <w:p w:rsidR="0035521C" w:rsidRPr="00CA030F" w:rsidRDefault="00CA030F" w:rsidP="00873C26">
            <w:pPr>
              <w:pStyle w:val="ListParagraph"/>
              <w:numPr>
                <w:ilvl w:val="0"/>
                <w:numId w:val="17"/>
              </w:numPr>
              <w:rPr>
                <w:rFonts w:ascii="Arial" w:hAnsi="Arial" w:cs="Arial"/>
                <w:sz w:val="20"/>
                <w:szCs w:val="20"/>
              </w:rPr>
            </w:pPr>
            <w:r w:rsidRPr="00CA030F">
              <w:rPr>
                <w:rFonts w:ascii="Arial" w:hAnsi="Arial" w:cs="Arial"/>
                <w:sz w:val="20"/>
              </w:rPr>
              <w:t>Type 2 diabetic patient non-compliant with insulin and other meds. Explained importance of insulin especially as now had toe amputated.  Unfortunately adherence did not improve and patient subsequently had below knee amputation</w:t>
            </w:r>
          </w:p>
        </w:tc>
        <w:tc>
          <w:tcPr>
            <w:tcW w:w="1134" w:type="dxa"/>
          </w:tcPr>
          <w:p w:rsidR="0035521C" w:rsidRDefault="000C1159" w:rsidP="00483552">
            <w:pPr>
              <w:autoSpaceDE w:val="0"/>
              <w:autoSpaceDN w:val="0"/>
              <w:adjustRightInd w:val="0"/>
              <w:jc w:val="center"/>
              <w:rPr>
                <w:rFonts w:ascii="Arial" w:hAnsi="Arial" w:cs="Arial"/>
                <w:sz w:val="24"/>
                <w:szCs w:val="20"/>
              </w:rPr>
            </w:pPr>
            <w:r>
              <w:rPr>
                <w:rFonts w:ascii="Arial" w:hAnsi="Arial" w:cs="Arial"/>
                <w:sz w:val="24"/>
                <w:szCs w:val="20"/>
              </w:rPr>
              <w:t>3</w:t>
            </w:r>
          </w:p>
        </w:tc>
        <w:tc>
          <w:tcPr>
            <w:tcW w:w="2199" w:type="dxa"/>
          </w:tcPr>
          <w:p w:rsidR="0035521C" w:rsidRDefault="001A2FC3" w:rsidP="001A2FC3">
            <w:pPr>
              <w:autoSpaceDE w:val="0"/>
              <w:autoSpaceDN w:val="0"/>
              <w:adjustRightInd w:val="0"/>
              <w:jc w:val="center"/>
              <w:rPr>
                <w:rFonts w:ascii="Arial" w:hAnsi="Arial" w:cs="Arial"/>
                <w:sz w:val="24"/>
                <w:szCs w:val="20"/>
              </w:rPr>
            </w:pPr>
            <w:r>
              <w:rPr>
                <w:rFonts w:ascii="Arial" w:hAnsi="Arial" w:cs="Arial"/>
                <w:sz w:val="24"/>
                <w:szCs w:val="20"/>
              </w:rPr>
              <w:t>0-6</w:t>
            </w:r>
          </w:p>
        </w:tc>
      </w:tr>
      <w:tr w:rsidR="0035521C" w:rsidTr="00873C26">
        <w:tc>
          <w:tcPr>
            <w:tcW w:w="6629" w:type="dxa"/>
          </w:tcPr>
          <w:p w:rsidR="0035521C" w:rsidRPr="00CA030F" w:rsidRDefault="00CA030F" w:rsidP="00873C26">
            <w:pPr>
              <w:pStyle w:val="ListParagraph"/>
              <w:numPr>
                <w:ilvl w:val="0"/>
                <w:numId w:val="17"/>
              </w:numPr>
              <w:rPr>
                <w:rFonts w:ascii="Arial" w:hAnsi="Arial" w:cs="Arial"/>
              </w:rPr>
            </w:pPr>
            <w:r w:rsidRPr="00CA030F">
              <w:rPr>
                <w:rFonts w:ascii="Arial" w:hAnsi="Arial" w:cs="Arial"/>
                <w:sz w:val="20"/>
              </w:rPr>
              <w:t>Counselled patient on the importance of cleaning nebuliser after each use to avoid build-up of bacteria and re-infection. Patient had not been informed on how to clean before visit.</w:t>
            </w:r>
          </w:p>
        </w:tc>
        <w:tc>
          <w:tcPr>
            <w:tcW w:w="1134" w:type="dxa"/>
          </w:tcPr>
          <w:p w:rsidR="0035521C" w:rsidRDefault="001A2FC3"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873C26" w:rsidRDefault="00873C26" w:rsidP="00873C26">
            <w:pPr>
              <w:pStyle w:val="ListParagraph"/>
              <w:numPr>
                <w:ilvl w:val="0"/>
                <w:numId w:val="17"/>
              </w:numPr>
              <w:rPr>
                <w:rFonts w:ascii="Arial" w:hAnsi="Arial" w:cs="Arial"/>
              </w:rPr>
            </w:pPr>
            <w:r w:rsidRPr="00873C26">
              <w:rPr>
                <w:rFonts w:ascii="Arial" w:hAnsi="Arial" w:cs="Arial"/>
                <w:sz w:val="20"/>
              </w:rPr>
              <w:t>Assessed for blister packs. Arranged with community pharmacy to commence 2/7 after visit.  Patient had previously been missing medication on some days, adherence improved with blister pack</w:t>
            </w:r>
          </w:p>
        </w:tc>
        <w:tc>
          <w:tcPr>
            <w:tcW w:w="1134" w:type="dxa"/>
          </w:tcPr>
          <w:p w:rsidR="0035521C" w:rsidRDefault="001A2FC3"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873C26" w:rsidRDefault="00873C26" w:rsidP="00873C26">
            <w:pPr>
              <w:pStyle w:val="ListParagraph"/>
              <w:numPr>
                <w:ilvl w:val="0"/>
                <w:numId w:val="17"/>
              </w:numPr>
              <w:rPr>
                <w:rFonts w:ascii="Arial" w:hAnsi="Arial" w:cs="Arial"/>
                <w:sz w:val="20"/>
                <w:szCs w:val="20"/>
              </w:rPr>
            </w:pPr>
            <w:r w:rsidRPr="00873C26">
              <w:rPr>
                <w:rFonts w:ascii="Arial" w:hAnsi="Arial" w:cs="Arial"/>
                <w:sz w:val="20"/>
              </w:rPr>
              <w:t>Bendroflumethiazide stopped by hospital due to poor renal function.  Informed community pharmacy to omit from next month’s blister packs and supplied them with copy of discharge summary. Ensured patient was omitting bendroflumethiazide from current blisters.  Community pharmacy had received no information from hospital and had been unaware of the change</w:t>
            </w:r>
          </w:p>
        </w:tc>
        <w:tc>
          <w:tcPr>
            <w:tcW w:w="1134" w:type="dxa"/>
          </w:tcPr>
          <w:p w:rsidR="0035521C" w:rsidRDefault="001A2FC3"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873C26" w:rsidRDefault="00873C26" w:rsidP="00873C26">
            <w:pPr>
              <w:pStyle w:val="ListParagraph"/>
              <w:numPr>
                <w:ilvl w:val="0"/>
                <w:numId w:val="17"/>
              </w:numPr>
              <w:rPr>
                <w:rFonts w:ascii="Arial" w:hAnsi="Arial" w:cs="Arial"/>
              </w:rPr>
            </w:pPr>
            <w:r w:rsidRPr="00873C26">
              <w:rPr>
                <w:rFonts w:ascii="Arial" w:hAnsi="Arial" w:cs="Arial"/>
                <w:sz w:val="20"/>
              </w:rPr>
              <w:t>Change in inhalers from community respiratory prior to initial admission had not been actioned.  (Seretide to change to Fostair and Eklira to Incruse as patient had not been taking.) Prescription requested.  Additional visit 17/02/17 to deliver inhalers and counselled. Seretide removed.</w:t>
            </w:r>
          </w:p>
        </w:tc>
        <w:tc>
          <w:tcPr>
            <w:tcW w:w="1134" w:type="dxa"/>
          </w:tcPr>
          <w:p w:rsidR="0035521C" w:rsidRDefault="001A2FC3" w:rsidP="00483552">
            <w:pPr>
              <w:autoSpaceDE w:val="0"/>
              <w:autoSpaceDN w:val="0"/>
              <w:adjustRightInd w:val="0"/>
              <w:jc w:val="center"/>
              <w:rPr>
                <w:rFonts w:ascii="Arial" w:hAnsi="Arial" w:cs="Arial"/>
                <w:sz w:val="24"/>
                <w:szCs w:val="20"/>
              </w:rPr>
            </w:pPr>
            <w:r>
              <w:rPr>
                <w:rFonts w:ascii="Arial" w:hAnsi="Arial" w:cs="Arial"/>
                <w:sz w:val="24"/>
                <w:szCs w:val="20"/>
              </w:rPr>
              <w:t>4</w:t>
            </w:r>
          </w:p>
        </w:tc>
        <w:tc>
          <w:tcPr>
            <w:tcW w:w="2199" w:type="dxa"/>
          </w:tcPr>
          <w:p w:rsidR="0035521C" w:rsidRDefault="001A2FC3" w:rsidP="001A2FC3">
            <w:pPr>
              <w:autoSpaceDE w:val="0"/>
              <w:autoSpaceDN w:val="0"/>
              <w:adjustRightInd w:val="0"/>
              <w:jc w:val="center"/>
              <w:rPr>
                <w:rFonts w:ascii="Arial" w:hAnsi="Arial" w:cs="Arial"/>
                <w:sz w:val="24"/>
                <w:szCs w:val="20"/>
              </w:rPr>
            </w:pPr>
            <w:r w:rsidRPr="001A2FC3">
              <w:rPr>
                <w:rFonts w:ascii="Arial" w:hAnsi="Arial" w:cs="Arial"/>
                <w:sz w:val="24"/>
              </w:rPr>
              <w:t>65-150</w:t>
            </w:r>
          </w:p>
        </w:tc>
      </w:tr>
      <w:tr w:rsidR="0035521C" w:rsidTr="00873C26">
        <w:tc>
          <w:tcPr>
            <w:tcW w:w="6629" w:type="dxa"/>
          </w:tcPr>
          <w:p w:rsidR="0035521C" w:rsidRPr="009E0228" w:rsidRDefault="0035521C" w:rsidP="00483552">
            <w:pPr>
              <w:autoSpaceDE w:val="0"/>
              <w:autoSpaceDN w:val="0"/>
              <w:adjustRightInd w:val="0"/>
              <w:rPr>
                <w:rFonts w:ascii="Arial" w:hAnsi="Arial" w:cs="Arial"/>
                <w:b/>
                <w:sz w:val="24"/>
                <w:szCs w:val="20"/>
              </w:rPr>
            </w:pPr>
            <w:r w:rsidRPr="009E0228">
              <w:rPr>
                <w:rFonts w:ascii="Arial" w:hAnsi="Arial" w:cs="Arial"/>
                <w:b/>
                <w:sz w:val="24"/>
                <w:szCs w:val="20"/>
              </w:rPr>
              <w:t>Total</w:t>
            </w:r>
            <w:r>
              <w:rPr>
                <w:rFonts w:ascii="Arial" w:hAnsi="Arial" w:cs="Arial"/>
                <w:b/>
                <w:sz w:val="24"/>
                <w:szCs w:val="20"/>
              </w:rPr>
              <w:t xml:space="preserve"> cost avoidance</w:t>
            </w:r>
          </w:p>
        </w:tc>
        <w:tc>
          <w:tcPr>
            <w:tcW w:w="1134" w:type="dxa"/>
          </w:tcPr>
          <w:p w:rsidR="0035521C" w:rsidRDefault="0035521C" w:rsidP="00483552">
            <w:pPr>
              <w:autoSpaceDE w:val="0"/>
              <w:autoSpaceDN w:val="0"/>
              <w:adjustRightInd w:val="0"/>
              <w:rPr>
                <w:rFonts w:ascii="Arial" w:hAnsi="Arial" w:cs="Arial"/>
                <w:sz w:val="24"/>
                <w:szCs w:val="20"/>
              </w:rPr>
            </w:pPr>
          </w:p>
        </w:tc>
        <w:tc>
          <w:tcPr>
            <w:tcW w:w="2199" w:type="dxa"/>
          </w:tcPr>
          <w:p w:rsidR="0035521C" w:rsidRPr="00DA545E" w:rsidRDefault="0035521C" w:rsidP="00483552">
            <w:pPr>
              <w:autoSpaceDE w:val="0"/>
              <w:autoSpaceDN w:val="0"/>
              <w:adjustRightInd w:val="0"/>
              <w:rPr>
                <w:rFonts w:ascii="Arial" w:hAnsi="Arial" w:cs="Arial"/>
                <w:b/>
                <w:sz w:val="24"/>
                <w:szCs w:val="20"/>
              </w:rPr>
            </w:pPr>
            <w:r>
              <w:rPr>
                <w:rFonts w:ascii="Arial" w:hAnsi="Arial" w:cs="Arial"/>
                <w:b/>
                <w:sz w:val="24"/>
                <w:szCs w:val="20"/>
              </w:rPr>
              <w:t>£</w:t>
            </w:r>
            <w:r w:rsidR="00873C26">
              <w:rPr>
                <w:rFonts w:ascii="Arial" w:hAnsi="Arial" w:cs="Arial"/>
                <w:b/>
                <w:sz w:val="24"/>
                <w:szCs w:val="20"/>
              </w:rPr>
              <w:t>2401</w:t>
            </w:r>
            <w:r>
              <w:rPr>
                <w:rFonts w:ascii="Arial" w:hAnsi="Arial" w:cs="Arial"/>
                <w:b/>
                <w:sz w:val="24"/>
                <w:szCs w:val="20"/>
              </w:rPr>
              <w:t xml:space="preserve"> </w:t>
            </w:r>
            <w:r w:rsidRPr="00DA545E">
              <w:rPr>
                <w:rFonts w:ascii="Arial" w:hAnsi="Arial" w:cs="Arial"/>
                <w:b/>
                <w:sz w:val="24"/>
                <w:szCs w:val="20"/>
              </w:rPr>
              <w:t>-</w:t>
            </w:r>
            <w:r>
              <w:rPr>
                <w:rFonts w:ascii="Arial" w:hAnsi="Arial" w:cs="Arial"/>
                <w:b/>
                <w:sz w:val="24"/>
                <w:szCs w:val="20"/>
              </w:rPr>
              <w:t xml:space="preserve"> £</w:t>
            </w:r>
            <w:r w:rsidR="00873C26">
              <w:rPr>
                <w:rFonts w:ascii="Arial" w:hAnsi="Arial" w:cs="Arial"/>
                <w:b/>
                <w:sz w:val="24"/>
                <w:szCs w:val="20"/>
              </w:rPr>
              <w:t>5236</w:t>
            </w:r>
          </w:p>
        </w:tc>
      </w:tr>
      <w:tr w:rsidR="0035521C" w:rsidTr="00873C26">
        <w:tc>
          <w:tcPr>
            <w:tcW w:w="6629" w:type="dxa"/>
          </w:tcPr>
          <w:p w:rsidR="0035521C" w:rsidRPr="009E0228" w:rsidRDefault="0035521C" w:rsidP="00483552">
            <w:pPr>
              <w:autoSpaceDE w:val="0"/>
              <w:autoSpaceDN w:val="0"/>
              <w:adjustRightInd w:val="0"/>
              <w:rPr>
                <w:rFonts w:ascii="Arial" w:hAnsi="Arial" w:cs="Arial"/>
                <w:b/>
                <w:sz w:val="24"/>
                <w:szCs w:val="20"/>
              </w:rPr>
            </w:pPr>
            <w:r>
              <w:rPr>
                <w:rFonts w:ascii="Arial" w:hAnsi="Arial" w:cs="Arial"/>
                <w:b/>
                <w:sz w:val="24"/>
                <w:szCs w:val="20"/>
              </w:rPr>
              <w:t>Mean cost avoidance per intervention</w:t>
            </w:r>
          </w:p>
        </w:tc>
        <w:tc>
          <w:tcPr>
            <w:tcW w:w="1134" w:type="dxa"/>
          </w:tcPr>
          <w:p w:rsidR="0035521C" w:rsidRDefault="0035521C" w:rsidP="00483552">
            <w:pPr>
              <w:autoSpaceDE w:val="0"/>
              <w:autoSpaceDN w:val="0"/>
              <w:adjustRightInd w:val="0"/>
              <w:rPr>
                <w:rFonts w:ascii="Arial" w:hAnsi="Arial" w:cs="Arial"/>
                <w:sz w:val="24"/>
                <w:szCs w:val="20"/>
              </w:rPr>
            </w:pPr>
          </w:p>
        </w:tc>
        <w:tc>
          <w:tcPr>
            <w:tcW w:w="2199" w:type="dxa"/>
          </w:tcPr>
          <w:p w:rsidR="0035521C" w:rsidRDefault="00BE3CFE" w:rsidP="00483552">
            <w:pPr>
              <w:autoSpaceDE w:val="0"/>
              <w:autoSpaceDN w:val="0"/>
              <w:adjustRightInd w:val="0"/>
              <w:rPr>
                <w:rFonts w:ascii="Arial" w:hAnsi="Arial" w:cs="Arial"/>
                <w:b/>
                <w:sz w:val="24"/>
                <w:szCs w:val="20"/>
              </w:rPr>
            </w:pPr>
            <w:r>
              <w:rPr>
                <w:rFonts w:ascii="Arial" w:hAnsi="Arial" w:cs="Arial"/>
                <w:b/>
                <w:sz w:val="24"/>
                <w:szCs w:val="20"/>
              </w:rPr>
              <w:t>£</w:t>
            </w:r>
            <w:r w:rsidR="00873C26">
              <w:rPr>
                <w:rFonts w:ascii="Arial" w:hAnsi="Arial" w:cs="Arial"/>
                <w:b/>
                <w:sz w:val="24"/>
                <w:szCs w:val="20"/>
              </w:rPr>
              <w:t>120.05</w:t>
            </w:r>
            <w:r>
              <w:rPr>
                <w:rFonts w:ascii="Arial" w:hAnsi="Arial" w:cs="Arial"/>
                <w:b/>
                <w:sz w:val="24"/>
                <w:szCs w:val="20"/>
              </w:rPr>
              <w:t xml:space="preserve"> - £</w:t>
            </w:r>
            <w:r w:rsidR="00873C26">
              <w:rPr>
                <w:rFonts w:ascii="Arial" w:hAnsi="Arial" w:cs="Arial"/>
                <w:b/>
                <w:sz w:val="24"/>
                <w:szCs w:val="20"/>
              </w:rPr>
              <w:t>261.80</w:t>
            </w:r>
          </w:p>
        </w:tc>
      </w:tr>
      <w:tr w:rsidR="0035521C" w:rsidTr="00873C26">
        <w:tc>
          <w:tcPr>
            <w:tcW w:w="6629" w:type="dxa"/>
          </w:tcPr>
          <w:p w:rsidR="0035521C" w:rsidRDefault="0035521C" w:rsidP="001A2FC3">
            <w:pPr>
              <w:autoSpaceDE w:val="0"/>
              <w:autoSpaceDN w:val="0"/>
              <w:adjustRightInd w:val="0"/>
              <w:rPr>
                <w:rFonts w:ascii="Arial" w:hAnsi="Arial" w:cs="Arial"/>
                <w:b/>
                <w:sz w:val="24"/>
                <w:szCs w:val="20"/>
              </w:rPr>
            </w:pPr>
            <w:r>
              <w:rPr>
                <w:rFonts w:ascii="Arial" w:hAnsi="Arial" w:cs="Arial"/>
                <w:b/>
                <w:sz w:val="24"/>
                <w:szCs w:val="20"/>
              </w:rPr>
              <w:t xml:space="preserve">Cost Avoidance per </w:t>
            </w:r>
            <w:r w:rsidR="001A2FC3">
              <w:rPr>
                <w:rFonts w:ascii="Arial" w:hAnsi="Arial" w:cs="Arial"/>
                <w:b/>
                <w:sz w:val="24"/>
                <w:szCs w:val="20"/>
              </w:rPr>
              <w:t>review</w:t>
            </w:r>
            <w:r>
              <w:rPr>
                <w:rFonts w:ascii="Arial" w:hAnsi="Arial" w:cs="Arial"/>
                <w:b/>
                <w:sz w:val="24"/>
                <w:szCs w:val="20"/>
              </w:rPr>
              <w:t xml:space="preserve"> (mean = </w:t>
            </w:r>
            <w:r w:rsidR="001A2FC3">
              <w:rPr>
                <w:rFonts w:ascii="Arial" w:hAnsi="Arial" w:cs="Arial"/>
                <w:b/>
                <w:sz w:val="24"/>
                <w:szCs w:val="20"/>
              </w:rPr>
              <w:t>1.</w:t>
            </w:r>
            <w:r>
              <w:rPr>
                <w:rFonts w:ascii="Arial" w:hAnsi="Arial" w:cs="Arial"/>
                <w:b/>
                <w:sz w:val="24"/>
                <w:szCs w:val="20"/>
              </w:rPr>
              <w:t>2</w:t>
            </w:r>
            <w:r w:rsidR="001A2FC3">
              <w:rPr>
                <w:rFonts w:ascii="Arial" w:hAnsi="Arial" w:cs="Arial"/>
                <w:b/>
                <w:sz w:val="24"/>
                <w:szCs w:val="20"/>
              </w:rPr>
              <w:t>5</w:t>
            </w:r>
            <w:r w:rsidR="00CA030F">
              <w:rPr>
                <w:rFonts w:ascii="Arial" w:hAnsi="Arial" w:cs="Arial"/>
                <w:b/>
                <w:sz w:val="24"/>
                <w:szCs w:val="20"/>
              </w:rPr>
              <w:t xml:space="preserve"> interventions per review</w:t>
            </w:r>
            <w:r>
              <w:rPr>
                <w:rFonts w:ascii="Arial" w:hAnsi="Arial" w:cs="Arial"/>
                <w:b/>
                <w:sz w:val="24"/>
                <w:szCs w:val="20"/>
              </w:rPr>
              <w:t>)</w:t>
            </w:r>
          </w:p>
        </w:tc>
        <w:tc>
          <w:tcPr>
            <w:tcW w:w="1134" w:type="dxa"/>
          </w:tcPr>
          <w:p w:rsidR="0035521C" w:rsidRDefault="0035521C" w:rsidP="00483552">
            <w:pPr>
              <w:autoSpaceDE w:val="0"/>
              <w:autoSpaceDN w:val="0"/>
              <w:adjustRightInd w:val="0"/>
              <w:rPr>
                <w:rFonts w:ascii="Arial" w:hAnsi="Arial" w:cs="Arial"/>
                <w:sz w:val="24"/>
                <w:szCs w:val="20"/>
              </w:rPr>
            </w:pPr>
          </w:p>
        </w:tc>
        <w:tc>
          <w:tcPr>
            <w:tcW w:w="2199" w:type="dxa"/>
          </w:tcPr>
          <w:p w:rsidR="0035521C" w:rsidRDefault="00BE3CFE" w:rsidP="00483552">
            <w:pPr>
              <w:autoSpaceDE w:val="0"/>
              <w:autoSpaceDN w:val="0"/>
              <w:adjustRightInd w:val="0"/>
              <w:rPr>
                <w:rFonts w:ascii="Arial" w:hAnsi="Arial" w:cs="Arial"/>
                <w:b/>
                <w:sz w:val="24"/>
                <w:szCs w:val="20"/>
              </w:rPr>
            </w:pPr>
            <w:r>
              <w:rPr>
                <w:rFonts w:ascii="Arial" w:hAnsi="Arial" w:cs="Arial"/>
                <w:b/>
                <w:sz w:val="24"/>
                <w:szCs w:val="20"/>
              </w:rPr>
              <w:t>£</w:t>
            </w:r>
            <w:r w:rsidR="00873C26">
              <w:rPr>
                <w:rFonts w:ascii="Arial" w:hAnsi="Arial" w:cs="Arial"/>
                <w:b/>
                <w:sz w:val="24"/>
                <w:szCs w:val="20"/>
              </w:rPr>
              <w:t>150.06</w:t>
            </w:r>
            <w:r>
              <w:rPr>
                <w:rFonts w:ascii="Arial" w:hAnsi="Arial" w:cs="Arial"/>
                <w:b/>
                <w:sz w:val="24"/>
                <w:szCs w:val="20"/>
              </w:rPr>
              <w:t xml:space="preserve"> - £</w:t>
            </w:r>
            <w:r w:rsidR="00873C26">
              <w:rPr>
                <w:rFonts w:ascii="Arial" w:hAnsi="Arial" w:cs="Arial"/>
                <w:b/>
                <w:sz w:val="24"/>
                <w:szCs w:val="20"/>
              </w:rPr>
              <w:t>327.25</w:t>
            </w:r>
          </w:p>
        </w:tc>
      </w:tr>
    </w:tbl>
    <w:p w:rsidR="004325EB" w:rsidRDefault="004325EB" w:rsidP="008B6009">
      <w:pPr>
        <w:autoSpaceDE w:val="0"/>
        <w:autoSpaceDN w:val="0"/>
        <w:adjustRightInd w:val="0"/>
        <w:jc w:val="both"/>
        <w:rPr>
          <w:rFonts w:ascii="Arial" w:hAnsi="Arial" w:cs="Arial"/>
          <w:sz w:val="24"/>
          <w:szCs w:val="24"/>
          <w:u w:val="single"/>
        </w:rPr>
      </w:pPr>
    </w:p>
    <w:p w:rsidR="000676F3" w:rsidRDefault="000676F3" w:rsidP="008B6009">
      <w:pPr>
        <w:autoSpaceDE w:val="0"/>
        <w:autoSpaceDN w:val="0"/>
        <w:adjustRightInd w:val="0"/>
        <w:spacing w:after="0"/>
        <w:jc w:val="both"/>
        <w:rPr>
          <w:rFonts w:ascii="Arial" w:hAnsi="Arial" w:cs="Arial"/>
          <w:sz w:val="24"/>
          <w:szCs w:val="24"/>
          <w:u w:val="single"/>
        </w:rPr>
      </w:pPr>
      <w:r>
        <w:rPr>
          <w:rFonts w:ascii="Arial" w:hAnsi="Arial" w:cs="Arial"/>
          <w:sz w:val="24"/>
          <w:szCs w:val="24"/>
          <w:u w:val="single"/>
        </w:rPr>
        <w:t>Medicines Adherence</w:t>
      </w:r>
    </w:p>
    <w:p w:rsidR="000676F3" w:rsidRDefault="000676F3" w:rsidP="008B6009">
      <w:pPr>
        <w:autoSpaceDE w:val="0"/>
        <w:autoSpaceDN w:val="0"/>
        <w:adjustRightInd w:val="0"/>
        <w:jc w:val="both"/>
        <w:rPr>
          <w:rFonts w:ascii="Arial" w:hAnsi="Arial" w:cs="Arial"/>
          <w:sz w:val="24"/>
          <w:szCs w:val="24"/>
        </w:rPr>
      </w:pPr>
      <w:r>
        <w:rPr>
          <w:rFonts w:ascii="Arial" w:hAnsi="Arial" w:cs="Arial"/>
          <w:sz w:val="24"/>
          <w:szCs w:val="24"/>
        </w:rPr>
        <w:t xml:space="preserve">All 16 visited by the VW-MMT answered the 3 medicines adherence questions at their initial </w:t>
      </w:r>
      <w:r w:rsidR="001B05FE">
        <w:rPr>
          <w:rFonts w:ascii="Arial" w:hAnsi="Arial" w:cs="Arial"/>
          <w:sz w:val="24"/>
          <w:szCs w:val="24"/>
        </w:rPr>
        <w:t xml:space="preserve">visit (prior to </w:t>
      </w:r>
      <w:r>
        <w:rPr>
          <w:rFonts w:ascii="Arial" w:hAnsi="Arial" w:cs="Arial"/>
          <w:sz w:val="24"/>
          <w:szCs w:val="24"/>
        </w:rPr>
        <w:t>review</w:t>
      </w:r>
      <w:r w:rsidR="001B05FE">
        <w:rPr>
          <w:rFonts w:ascii="Arial" w:hAnsi="Arial" w:cs="Arial"/>
          <w:sz w:val="24"/>
          <w:szCs w:val="24"/>
        </w:rPr>
        <w:t>)</w:t>
      </w:r>
      <w:r>
        <w:rPr>
          <w:rFonts w:ascii="Arial" w:hAnsi="Arial" w:cs="Arial"/>
          <w:sz w:val="24"/>
          <w:szCs w:val="24"/>
        </w:rPr>
        <w:t xml:space="preserve"> and on at least one of the 2 follow-up telephone calls.  </w:t>
      </w:r>
      <w:r w:rsidR="001B05FE">
        <w:rPr>
          <w:rFonts w:ascii="Arial" w:hAnsi="Arial" w:cs="Arial"/>
          <w:sz w:val="24"/>
          <w:szCs w:val="24"/>
        </w:rPr>
        <w:t>Thirteen</w:t>
      </w:r>
      <w:r>
        <w:rPr>
          <w:rFonts w:ascii="Arial" w:hAnsi="Arial" w:cs="Arial"/>
          <w:sz w:val="24"/>
          <w:szCs w:val="24"/>
        </w:rPr>
        <w:t xml:space="preserve"> </w:t>
      </w:r>
      <w:r>
        <w:rPr>
          <w:rFonts w:ascii="Arial" w:hAnsi="Arial" w:cs="Arial"/>
          <w:sz w:val="24"/>
          <w:szCs w:val="24"/>
        </w:rPr>
        <w:lastRenderedPageBreak/>
        <w:t>patient</w:t>
      </w:r>
      <w:r w:rsidR="001B05FE">
        <w:rPr>
          <w:rFonts w:ascii="Arial" w:hAnsi="Arial" w:cs="Arial"/>
          <w:sz w:val="24"/>
          <w:szCs w:val="24"/>
        </w:rPr>
        <w:t>s (81</w:t>
      </w:r>
      <w:r>
        <w:rPr>
          <w:rFonts w:ascii="Arial" w:hAnsi="Arial" w:cs="Arial"/>
          <w:sz w:val="24"/>
          <w:szCs w:val="24"/>
        </w:rPr>
        <w:t xml:space="preserve">%) showed a decrease in score </w:t>
      </w:r>
      <w:r w:rsidR="001B05FE">
        <w:rPr>
          <w:rFonts w:ascii="Arial" w:hAnsi="Arial" w:cs="Arial"/>
          <w:sz w:val="24"/>
          <w:szCs w:val="24"/>
        </w:rPr>
        <w:t xml:space="preserve">over the 3 assessments </w:t>
      </w:r>
      <w:r>
        <w:rPr>
          <w:rFonts w:ascii="Arial" w:hAnsi="Arial" w:cs="Arial"/>
          <w:sz w:val="24"/>
          <w:szCs w:val="24"/>
        </w:rPr>
        <w:t>(representing an improvement in</w:t>
      </w:r>
      <w:r w:rsidR="001B05FE">
        <w:rPr>
          <w:rFonts w:ascii="Arial" w:hAnsi="Arial" w:cs="Arial"/>
          <w:sz w:val="24"/>
          <w:szCs w:val="24"/>
        </w:rPr>
        <w:t xml:space="preserve"> self-reported</w:t>
      </w:r>
      <w:r>
        <w:rPr>
          <w:rFonts w:ascii="Arial" w:hAnsi="Arial" w:cs="Arial"/>
          <w:sz w:val="24"/>
          <w:szCs w:val="24"/>
        </w:rPr>
        <w:t xml:space="preserve"> adherence)</w:t>
      </w:r>
      <w:r w:rsidR="001B05FE">
        <w:rPr>
          <w:rFonts w:ascii="Arial" w:hAnsi="Arial" w:cs="Arial"/>
          <w:sz w:val="24"/>
          <w:szCs w:val="24"/>
        </w:rPr>
        <w:t>.  These results are displayed in Table 3</w:t>
      </w:r>
      <w:r w:rsidR="008B6009">
        <w:rPr>
          <w:rFonts w:ascii="Arial" w:hAnsi="Arial" w:cs="Arial"/>
          <w:sz w:val="24"/>
          <w:szCs w:val="24"/>
        </w:rPr>
        <w:t>.</w:t>
      </w:r>
    </w:p>
    <w:p w:rsidR="006C564D" w:rsidRDefault="006C564D" w:rsidP="004325EB">
      <w:pPr>
        <w:autoSpaceDE w:val="0"/>
        <w:autoSpaceDN w:val="0"/>
        <w:adjustRightInd w:val="0"/>
        <w:spacing w:after="0"/>
        <w:rPr>
          <w:rFonts w:ascii="Arial" w:hAnsi="Arial" w:cs="Arial"/>
          <w:sz w:val="24"/>
          <w:szCs w:val="24"/>
        </w:rPr>
      </w:pPr>
      <w:r>
        <w:rPr>
          <w:rFonts w:ascii="Arial" w:hAnsi="Arial" w:cs="Arial"/>
          <w:b/>
          <w:szCs w:val="20"/>
        </w:rPr>
        <w:t>T</w:t>
      </w:r>
      <w:r w:rsidRPr="00DA545E">
        <w:rPr>
          <w:rFonts w:ascii="Arial" w:hAnsi="Arial" w:cs="Arial"/>
          <w:b/>
          <w:szCs w:val="20"/>
        </w:rPr>
        <w:t>able</w:t>
      </w:r>
      <w:r>
        <w:rPr>
          <w:rFonts w:ascii="Arial" w:hAnsi="Arial" w:cs="Arial"/>
          <w:b/>
          <w:szCs w:val="20"/>
        </w:rPr>
        <w:t xml:space="preserve"> 3: Medication Adherence Scores Of Patients Receiving Post-discharge Medication Reviews from VW-MMT</w:t>
      </w:r>
    </w:p>
    <w:tbl>
      <w:tblPr>
        <w:tblStyle w:val="TableGrid"/>
        <w:tblW w:w="10198" w:type="dxa"/>
        <w:tblLook w:val="04A0" w:firstRow="1" w:lastRow="0" w:firstColumn="1" w:lastColumn="0" w:noHBand="0" w:noVBand="1"/>
      </w:tblPr>
      <w:tblGrid>
        <w:gridCol w:w="1242"/>
        <w:gridCol w:w="2410"/>
        <w:gridCol w:w="2977"/>
        <w:gridCol w:w="3569"/>
      </w:tblGrid>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Patient</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Score at initial visit</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Score at 5 week follow-up</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Score at 13 week follow-up</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2</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3</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4</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2</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5</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6</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Unavailable</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7</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8</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2</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Unavailable</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9</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10</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11</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2</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12</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13</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 xml:space="preserve">1 </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Unavailable</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14</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Unavailable</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15</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r w:rsidR="001B05FE" w:rsidTr="001B05FE">
        <w:tc>
          <w:tcPr>
            <w:tcW w:w="1242"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16</w:t>
            </w:r>
          </w:p>
        </w:tc>
        <w:tc>
          <w:tcPr>
            <w:tcW w:w="2410"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1</w:t>
            </w:r>
          </w:p>
        </w:tc>
        <w:tc>
          <w:tcPr>
            <w:tcW w:w="2977"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Unavailable</w:t>
            </w:r>
          </w:p>
        </w:tc>
        <w:tc>
          <w:tcPr>
            <w:tcW w:w="3569" w:type="dxa"/>
          </w:tcPr>
          <w:p w:rsidR="001B05FE" w:rsidRDefault="001B05FE" w:rsidP="007D5CAB">
            <w:pPr>
              <w:autoSpaceDE w:val="0"/>
              <w:autoSpaceDN w:val="0"/>
              <w:adjustRightInd w:val="0"/>
              <w:rPr>
                <w:rFonts w:ascii="Arial" w:hAnsi="Arial" w:cs="Arial"/>
                <w:sz w:val="24"/>
                <w:szCs w:val="24"/>
              </w:rPr>
            </w:pPr>
            <w:r>
              <w:rPr>
                <w:rFonts w:ascii="Arial" w:hAnsi="Arial" w:cs="Arial"/>
                <w:sz w:val="24"/>
                <w:szCs w:val="24"/>
              </w:rPr>
              <w:t>0</w:t>
            </w:r>
          </w:p>
        </w:tc>
      </w:tr>
    </w:tbl>
    <w:p w:rsidR="004325EB" w:rsidRDefault="004325EB" w:rsidP="007D5CAB">
      <w:pPr>
        <w:autoSpaceDE w:val="0"/>
        <w:autoSpaceDN w:val="0"/>
        <w:adjustRightInd w:val="0"/>
        <w:rPr>
          <w:rFonts w:ascii="Arial" w:hAnsi="Arial" w:cs="Arial"/>
          <w:sz w:val="24"/>
          <w:szCs w:val="24"/>
          <w:u w:val="single"/>
        </w:rPr>
      </w:pPr>
    </w:p>
    <w:p w:rsidR="008B6009" w:rsidRDefault="008B6009" w:rsidP="007D5CAB">
      <w:pPr>
        <w:autoSpaceDE w:val="0"/>
        <w:autoSpaceDN w:val="0"/>
        <w:adjustRightInd w:val="0"/>
        <w:rPr>
          <w:rFonts w:ascii="Arial" w:hAnsi="Arial" w:cs="Arial"/>
          <w:sz w:val="24"/>
          <w:szCs w:val="24"/>
          <w:u w:val="single"/>
        </w:rPr>
      </w:pPr>
    </w:p>
    <w:p w:rsidR="00C07A94" w:rsidRDefault="00873C26" w:rsidP="007D5CAB">
      <w:pPr>
        <w:autoSpaceDE w:val="0"/>
        <w:autoSpaceDN w:val="0"/>
        <w:adjustRightInd w:val="0"/>
        <w:rPr>
          <w:rFonts w:ascii="Arial" w:hAnsi="Arial" w:cs="Arial"/>
          <w:sz w:val="24"/>
          <w:szCs w:val="24"/>
          <w:u w:val="single"/>
        </w:rPr>
      </w:pPr>
      <w:r w:rsidRPr="000676F3">
        <w:rPr>
          <w:rFonts w:ascii="Arial" w:hAnsi="Arial" w:cs="Arial"/>
          <w:sz w:val="24"/>
          <w:szCs w:val="24"/>
          <w:u w:val="single"/>
        </w:rPr>
        <w:t xml:space="preserve">Costs of Providing </w:t>
      </w:r>
      <w:r w:rsidR="000676F3" w:rsidRPr="000676F3">
        <w:rPr>
          <w:rFonts w:ascii="Arial" w:hAnsi="Arial" w:cs="Arial"/>
          <w:sz w:val="24"/>
          <w:szCs w:val="24"/>
          <w:u w:val="single"/>
        </w:rPr>
        <w:t>the</w:t>
      </w:r>
      <w:r w:rsidRPr="000676F3">
        <w:rPr>
          <w:rFonts w:ascii="Arial" w:hAnsi="Arial" w:cs="Arial"/>
          <w:sz w:val="24"/>
          <w:szCs w:val="24"/>
          <w:u w:val="single"/>
        </w:rPr>
        <w:t xml:space="preserve"> Service</w:t>
      </w:r>
    </w:p>
    <w:p w:rsidR="006C564D" w:rsidRDefault="006C564D" w:rsidP="006C564D">
      <w:pPr>
        <w:autoSpaceDE w:val="0"/>
        <w:autoSpaceDN w:val="0"/>
        <w:adjustRightInd w:val="0"/>
        <w:spacing w:after="0"/>
        <w:rPr>
          <w:rFonts w:ascii="Arial" w:hAnsi="Arial" w:cs="Arial"/>
          <w:sz w:val="24"/>
          <w:szCs w:val="24"/>
          <w:u w:val="single"/>
        </w:rPr>
      </w:pPr>
      <w:r>
        <w:rPr>
          <w:rFonts w:ascii="Arial" w:hAnsi="Arial" w:cs="Arial"/>
          <w:sz w:val="24"/>
          <w:szCs w:val="24"/>
          <w:u w:val="single"/>
        </w:rPr>
        <w:t xml:space="preserve">Hospital </w:t>
      </w:r>
      <w:r w:rsidR="00910857">
        <w:rPr>
          <w:rFonts w:ascii="Arial" w:hAnsi="Arial" w:cs="Arial"/>
          <w:sz w:val="24"/>
          <w:szCs w:val="24"/>
          <w:u w:val="single"/>
        </w:rPr>
        <w:t>Pharmacy T</w:t>
      </w:r>
      <w:r>
        <w:rPr>
          <w:rFonts w:ascii="Arial" w:hAnsi="Arial" w:cs="Arial"/>
          <w:sz w:val="24"/>
          <w:szCs w:val="24"/>
          <w:u w:val="single"/>
        </w:rPr>
        <w:t>ime</w:t>
      </w:r>
    </w:p>
    <w:p w:rsidR="006C564D" w:rsidRDefault="006C564D" w:rsidP="008B6009">
      <w:pPr>
        <w:autoSpaceDE w:val="0"/>
        <w:autoSpaceDN w:val="0"/>
        <w:adjustRightInd w:val="0"/>
        <w:jc w:val="both"/>
        <w:rPr>
          <w:rFonts w:ascii="Arial" w:hAnsi="Arial" w:cs="Arial"/>
          <w:sz w:val="24"/>
          <w:szCs w:val="24"/>
        </w:rPr>
      </w:pPr>
      <w:r>
        <w:rPr>
          <w:rFonts w:ascii="Arial" w:hAnsi="Arial" w:cs="Arial"/>
          <w:sz w:val="24"/>
          <w:szCs w:val="24"/>
        </w:rPr>
        <w:t>Two Agenda for Change (AfC) band 7 pharmacists and one AfC band 5 pharmacy technician were responsible for identifying, consenting and referring patients from the hospital to the VW-MMT.  This process took 30-45min per patient referred.  The pharmacists spent more time than the technician on the project; precise split in terms of time and reasons for this were not supplied by the hospital.  However for the purposes of this evaluation it was assumed that the division of labour was 2:1 with the pharmacists completing the greater proportion of the work.</w:t>
      </w:r>
    </w:p>
    <w:p w:rsidR="00910857" w:rsidRDefault="006C564D" w:rsidP="008B6009">
      <w:pPr>
        <w:autoSpaceDE w:val="0"/>
        <w:autoSpaceDN w:val="0"/>
        <w:adjustRightInd w:val="0"/>
        <w:jc w:val="both"/>
        <w:rPr>
          <w:rFonts w:ascii="Arial" w:hAnsi="Arial" w:cs="Arial"/>
          <w:sz w:val="24"/>
          <w:szCs w:val="24"/>
        </w:rPr>
      </w:pPr>
      <w:r>
        <w:rPr>
          <w:rFonts w:ascii="Arial" w:hAnsi="Arial" w:cs="Arial"/>
          <w:sz w:val="24"/>
          <w:szCs w:val="24"/>
        </w:rPr>
        <w:t>In 2016-17 the cost of a band 7 pharmacist was £31.44 per hour and a band 5 technician cost £21.42 per hour (using values for staff at the top of each band).</w:t>
      </w:r>
      <w:r w:rsidR="00910857">
        <w:rPr>
          <w:rFonts w:ascii="Arial" w:hAnsi="Arial" w:cs="Arial"/>
          <w:sz w:val="24"/>
          <w:szCs w:val="24"/>
        </w:rPr>
        <w:t xml:space="preserve">  Therefore the estimated cost to the hospital of identifying, consenting and referring each patient was between £14 and £21.</w:t>
      </w:r>
    </w:p>
    <w:p w:rsidR="00910857" w:rsidRDefault="00910857" w:rsidP="008B6009">
      <w:pPr>
        <w:autoSpaceDE w:val="0"/>
        <w:autoSpaceDN w:val="0"/>
        <w:adjustRightInd w:val="0"/>
        <w:spacing w:after="0"/>
        <w:jc w:val="both"/>
        <w:rPr>
          <w:rFonts w:ascii="Arial" w:hAnsi="Arial" w:cs="Arial"/>
          <w:sz w:val="24"/>
          <w:szCs w:val="24"/>
          <w:u w:val="single"/>
        </w:rPr>
      </w:pPr>
      <w:r>
        <w:rPr>
          <w:rFonts w:ascii="Arial" w:hAnsi="Arial" w:cs="Arial"/>
          <w:sz w:val="24"/>
          <w:szCs w:val="24"/>
          <w:u w:val="single"/>
        </w:rPr>
        <w:t>VW</w:t>
      </w:r>
      <w:r w:rsidRPr="00910857">
        <w:rPr>
          <w:rFonts w:ascii="Arial" w:hAnsi="Arial" w:cs="Arial"/>
          <w:sz w:val="24"/>
          <w:szCs w:val="24"/>
          <w:u w:val="single"/>
        </w:rPr>
        <w:t>-MMT Time</w:t>
      </w:r>
    </w:p>
    <w:p w:rsidR="00910857" w:rsidRDefault="00910857" w:rsidP="008B6009">
      <w:pPr>
        <w:autoSpaceDE w:val="0"/>
        <w:autoSpaceDN w:val="0"/>
        <w:adjustRightInd w:val="0"/>
        <w:jc w:val="both"/>
        <w:rPr>
          <w:rFonts w:ascii="Arial" w:hAnsi="Arial" w:cs="Arial"/>
          <w:sz w:val="24"/>
          <w:szCs w:val="24"/>
        </w:rPr>
      </w:pPr>
      <w:r>
        <w:rPr>
          <w:rFonts w:ascii="Arial" w:hAnsi="Arial" w:cs="Arial"/>
          <w:sz w:val="24"/>
          <w:szCs w:val="24"/>
        </w:rPr>
        <w:t>The VW-MMT spent approximately two hours per patient on medication review, nterventions and follow-up.  This time was evenly spilt between the AfC band 7 pharmacist and band 5 technician.  Using the costings above, the post-discharge review service cost the CCG approximately £53 per patient to deliver in terms of staff time.</w:t>
      </w:r>
    </w:p>
    <w:p w:rsidR="00910857" w:rsidRDefault="00910857" w:rsidP="008B6009">
      <w:pPr>
        <w:autoSpaceDE w:val="0"/>
        <w:autoSpaceDN w:val="0"/>
        <w:adjustRightInd w:val="0"/>
        <w:jc w:val="both"/>
        <w:rPr>
          <w:rFonts w:ascii="Arial" w:hAnsi="Arial" w:cs="Arial"/>
          <w:sz w:val="24"/>
          <w:szCs w:val="20"/>
        </w:rPr>
      </w:pPr>
      <w:r>
        <w:rPr>
          <w:rFonts w:ascii="Arial" w:hAnsi="Arial" w:cs="Arial"/>
          <w:sz w:val="24"/>
          <w:szCs w:val="24"/>
        </w:rPr>
        <w:lastRenderedPageBreak/>
        <w:t xml:space="preserve">The total estimated cost to the NHS of providing the service was therefore between £67 and £74 per patient.  If each review saved </w:t>
      </w:r>
      <w:r w:rsidRPr="00910857">
        <w:rPr>
          <w:rFonts w:ascii="Arial" w:hAnsi="Arial" w:cs="Arial"/>
          <w:sz w:val="24"/>
          <w:szCs w:val="20"/>
        </w:rPr>
        <w:t>£</w:t>
      </w:r>
      <w:r>
        <w:rPr>
          <w:rFonts w:ascii="Arial" w:hAnsi="Arial" w:cs="Arial"/>
          <w:sz w:val="24"/>
          <w:szCs w:val="20"/>
        </w:rPr>
        <w:t>150</w:t>
      </w:r>
      <w:r w:rsidRPr="00910857">
        <w:rPr>
          <w:rFonts w:ascii="Arial" w:hAnsi="Arial" w:cs="Arial"/>
          <w:sz w:val="24"/>
          <w:szCs w:val="20"/>
        </w:rPr>
        <w:t xml:space="preserve"> - £</w:t>
      </w:r>
      <w:r>
        <w:rPr>
          <w:rFonts w:ascii="Arial" w:hAnsi="Arial" w:cs="Arial"/>
          <w:sz w:val="24"/>
          <w:szCs w:val="20"/>
        </w:rPr>
        <w:t>327</w:t>
      </w:r>
      <w:r w:rsidR="00703DAC">
        <w:rPr>
          <w:rFonts w:ascii="Arial" w:hAnsi="Arial" w:cs="Arial"/>
          <w:sz w:val="24"/>
          <w:szCs w:val="20"/>
        </w:rPr>
        <w:t xml:space="preserve"> in terms of improved care</w:t>
      </w:r>
      <w:r>
        <w:rPr>
          <w:rFonts w:ascii="Arial" w:hAnsi="Arial" w:cs="Arial"/>
          <w:sz w:val="24"/>
          <w:szCs w:val="20"/>
        </w:rPr>
        <w:t xml:space="preserve"> as shown in Table 2 above, the net cost saving to the NHS can therefore be estimated to be</w:t>
      </w:r>
      <w:r w:rsidR="00703DAC">
        <w:rPr>
          <w:rFonts w:ascii="Arial" w:hAnsi="Arial" w:cs="Arial"/>
          <w:sz w:val="24"/>
          <w:szCs w:val="20"/>
        </w:rPr>
        <w:t xml:space="preserve"> between £76 and £260 per patient referred to and reviewed by the VW-MMT.</w:t>
      </w:r>
    </w:p>
    <w:p w:rsidR="00703DAC" w:rsidRPr="00703DAC" w:rsidRDefault="00703DAC" w:rsidP="008B6009">
      <w:pPr>
        <w:autoSpaceDE w:val="0"/>
        <w:autoSpaceDN w:val="0"/>
        <w:adjustRightInd w:val="0"/>
        <w:spacing w:after="0"/>
        <w:jc w:val="both"/>
        <w:rPr>
          <w:rFonts w:ascii="Arial" w:hAnsi="Arial" w:cs="Arial"/>
          <w:sz w:val="24"/>
          <w:szCs w:val="20"/>
          <w:u w:val="single"/>
        </w:rPr>
      </w:pPr>
      <w:r w:rsidRPr="00703DAC">
        <w:rPr>
          <w:rFonts w:ascii="Arial" w:hAnsi="Arial" w:cs="Arial"/>
          <w:sz w:val="24"/>
          <w:szCs w:val="20"/>
          <w:u w:val="single"/>
        </w:rPr>
        <w:t>Drug Cost Savings</w:t>
      </w:r>
    </w:p>
    <w:p w:rsidR="00703DAC" w:rsidRDefault="004175E1" w:rsidP="008B6009">
      <w:pPr>
        <w:autoSpaceDE w:val="0"/>
        <w:autoSpaceDN w:val="0"/>
        <w:adjustRightInd w:val="0"/>
        <w:jc w:val="both"/>
        <w:rPr>
          <w:rFonts w:ascii="Arial" w:hAnsi="Arial" w:cs="Arial"/>
          <w:sz w:val="24"/>
          <w:szCs w:val="20"/>
        </w:rPr>
      </w:pPr>
      <w:r>
        <w:rPr>
          <w:rFonts w:ascii="Arial" w:hAnsi="Arial" w:cs="Arial"/>
          <w:sz w:val="24"/>
          <w:szCs w:val="20"/>
        </w:rPr>
        <w:t xml:space="preserve">During the pilot an annualised total drug cost saving of </w:t>
      </w:r>
      <w:r w:rsidR="00703DAC">
        <w:rPr>
          <w:rFonts w:ascii="Arial" w:hAnsi="Arial" w:cs="Arial"/>
          <w:sz w:val="24"/>
          <w:szCs w:val="20"/>
        </w:rPr>
        <w:t>£1301</w:t>
      </w:r>
      <w:r>
        <w:rPr>
          <w:rFonts w:ascii="Arial" w:hAnsi="Arial" w:cs="Arial"/>
          <w:sz w:val="24"/>
          <w:szCs w:val="20"/>
        </w:rPr>
        <w:t xml:space="preserve"> for the 16 patients was realised by the VW-MMT.  This saving was produced by stopping medicines no longer needed by the patient, and equates to an average cost saving of £81 per annum per patient reviewed.</w:t>
      </w:r>
    </w:p>
    <w:p w:rsidR="004175E1" w:rsidRPr="004175E1" w:rsidRDefault="004175E1" w:rsidP="008B6009">
      <w:pPr>
        <w:autoSpaceDE w:val="0"/>
        <w:autoSpaceDN w:val="0"/>
        <w:adjustRightInd w:val="0"/>
        <w:spacing w:after="0"/>
        <w:jc w:val="both"/>
        <w:rPr>
          <w:rFonts w:ascii="Arial" w:hAnsi="Arial" w:cs="Arial"/>
          <w:sz w:val="24"/>
          <w:szCs w:val="20"/>
          <w:u w:val="single"/>
        </w:rPr>
      </w:pPr>
      <w:r w:rsidRPr="004175E1">
        <w:rPr>
          <w:rFonts w:ascii="Arial" w:hAnsi="Arial" w:cs="Arial"/>
          <w:sz w:val="24"/>
          <w:szCs w:val="20"/>
          <w:u w:val="single"/>
        </w:rPr>
        <w:t>Readmissions</w:t>
      </w:r>
    </w:p>
    <w:p w:rsidR="004175E1" w:rsidRDefault="001029B2" w:rsidP="008B6009">
      <w:pPr>
        <w:autoSpaceDE w:val="0"/>
        <w:autoSpaceDN w:val="0"/>
        <w:adjustRightInd w:val="0"/>
        <w:jc w:val="both"/>
        <w:rPr>
          <w:rFonts w:ascii="Arial" w:hAnsi="Arial" w:cs="Arial"/>
          <w:sz w:val="24"/>
          <w:szCs w:val="20"/>
        </w:rPr>
      </w:pPr>
      <w:r>
        <w:rPr>
          <w:rFonts w:ascii="Arial" w:hAnsi="Arial" w:cs="Arial"/>
          <w:sz w:val="24"/>
          <w:szCs w:val="20"/>
        </w:rPr>
        <w:t xml:space="preserve">Six of the 16 patients (37.5%) were readmitted to hospital at least once within 1 month of their initial medication review by the VW-MMT.  </w:t>
      </w:r>
      <w:r w:rsidR="004175E1">
        <w:rPr>
          <w:rFonts w:ascii="Arial" w:hAnsi="Arial" w:cs="Arial"/>
          <w:sz w:val="24"/>
          <w:szCs w:val="20"/>
        </w:rPr>
        <w:t xml:space="preserve">Nine </w:t>
      </w:r>
      <w:r>
        <w:rPr>
          <w:rFonts w:ascii="Arial" w:hAnsi="Arial" w:cs="Arial"/>
          <w:sz w:val="24"/>
          <w:szCs w:val="20"/>
        </w:rPr>
        <w:t>(56%)</w:t>
      </w:r>
      <w:r w:rsidR="004175E1">
        <w:rPr>
          <w:rFonts w:ascii="Arial" w:hAnsi="Arial" w:cs="Arial"/>
          <w:sz w:val="24"/>
          <w:szCs w:val="20"/>
        </w:rPr>
        <w:t xml:space="preserve"> were readmitted </w:t>
      </w:r>
      <w:r>
        <w:rPr>
          <w:rFonts w:ascii="Arial" w:hAnsi="Arial" w:cs="Arial"/>
          <w:sz w:val="24"/>
          <w:szCs w:val="20"/>
        </w:rPr>
        <w:t>at least once within 6 months.</w:t>
      </w:r>
      <w:r w:rsidR="009F4829">
        <w:rPr>
          <w:rFonts w:ascii="Arial" w:hAnsi="Arial" w:cs="Arial"/>
          <w:sz w:val="24"/>
          <w:szCs w:val="20"/>
        </w:rPr>
        <w:t xml:space="preserve">  </w:t>
      </w:r>
    </w:p>
    <w:p w:rsidR="00703DAC" w:rsidRPr="00703DAC" w:rsidRDefault="00703DAC" w:rsidP="008B6009">
      <w:pPr>
        <w:autoSpaceDE w:val="0"/>
        <w:autoSpaceDN w:val="0"/>
        <w:adjustRightInd w:val="0"/>
        <w:jc w:val="both"/>
        <w:rPr>
          <w:rFonts w:ascii="Arial" w:hAnsi="Arial" w:cs="Arial"/>
          <w:b/>
          <w:sz w:val="24"/>
          <w:szCs w:val="20"/>
        </w:rPr>
      </w:pPr>
      <w:r w:rsidRPr="00703DAC">
        <w:rPr>
          <w:rFonts w:ascii="Arial" w:hAnsi="Arial" w:cs="Arial"/>
          <w:b/>
          <w:sz w:val="24"/>
          <w:szCs w:val="20"/>
        </w:rPr>
        <w:t>Discussion</w:t>
      </w:r>
    </w:p>
    <w:p w:rsidR="008B6009" w:rsidRDefault="008B6009" w:rsidP="008B6009">
      <w:pPr>
        <w:autoSpaceDE w:val="0"/>
        <w:autoSpaceDN w:val="0"/>
        <w:adjustRightInd w:val="0"/>
        <w:spacing w:after="120"/>
        <w:jc w:val="both"/>
        <w:rPr>
          <w:rFonts w:ascii="Arial" w:hAnsi="Arial" w:cs="Arial"/>
          <w:sz w:val="24"/>
          <w:szCs w:val="20"/>
        </w:rPr>
      </w:pPr>
      <w:r>
        <w:rPr>
          <w:rFonts w:ascii="Arial" w:hAnsi="Arial" w:cs="Arial"/>
          <w:sz w:val="24"/>
          <w:szCs w:val="20"/>
        </w:rPr>
        <w:t xml:space="preserve">Referrals from the hospital to the CCG VW-MMT were slow at first, with only two referrals being made in the first two months.  This is possibly due to the time needed to incorporate the patient identification and referral process into the routine work of the hospital pharmacy team. Feedback from the hospital pharmacists involved with the project was that it was necessary to ‘get into the habit’ of identifying patients, particularly as the pilot only included patients registered to GPs in one CCG locality.  As well as reducing the pool of patients to recruit from, this presented an extra check required before a patient could be recruited, which would not have been necessary had the service been available to all patients.  </w:t>
      </w:r>
    </w:p>
    <w:p w:rsidR="008B6009" w:rsidRDefault="008B6009" w:rsidP="008B6009">
      <w:pPr>
        <w:autoSpaceDE w:val="0"/>
        <w:autoSpaceDN w:val="0"/>
        <w:adjustRightInd w:val="0"/>
        <w:spacing w:after="120"/>
        <w:jc w:val="both"/>
        <w:rPr>
          <w:rFonts w:ascii="Arial" w:hAnsi="Arial" w:cs="Arial"/>
          <w:sz w:val="24"/>
          <w:szCs w:val="20"/>
        </w:rPr>
      </w:pPr>
      <w:r>
        <w:rPr>
          <w:rFonts w:ascii="Arial" w:hAnsi="Arial" w:cs="Arial"/>
          <w:sz w:val="24"/>
          <w:szCs w:val="20"/>
        </w:rPr>
        <w:t>Following the initial lag period however, referrals slowly increased, up to a peak of 8 referrals during the month of January.  Given the restrictions in terms of locality in which the reviews could take place and the fact that only two wards were involved with the pilot, there is the potential for referrals to increase substantially were the service to be opened up to all wards and to all localities served by the hospital.  Other restrictions on referral rate, based on the feedback of the hospital pharmacists, included ‘busy times’ for the hospital, when identifying patients ‘wasn’t at the forefront of our minds’, and the ‘long-winded’ referral process, which required ‘quite a bit of time’ (20-30 minutes per patient) to complete.  It could be that making greater use of pharmacy technicians to identify and refer patients would improve the overall efficiency of the referral process.  Streamlining the referral form to integrate it with the hospital’s electronic discharge system is another possible suggestion to reduce the burden on the hospital pharmacy staff, allowing more patients to be referred.</w:t>
      </w:r>
    </w:p>
    <w:p w:rsidR="00E238CD" w:rsidRDefault="006C25C2" w:rsidP="008B6009">
      <w:pPr>
        <w:autoSpaceDE w:val="0"/>
        <w:autoSpaceDN w:val="0"/>
        <w:adjustRightInd w:val="0"/>
        <w:spacing w:after="120"/>
        <w:jc w:val="both"/>
        <w:rPr>
          <w:rFonts w:ascii="Arial" w:hAnsi="Arial" w:cs="Arial"/>
          <w:sz w:val="24"/>
          <w:szCs w:val="24"/>
        </w:rPr>
      </w:pPr>
      <w:r>
        <w:rPr>
          <w:rFonts w:ascii="Arial" w:hAnsi="Arial" w:cs="Arial"/>
          <w:sz w:val="24"/>
          <w:szCs w:val="20"/>
        </w:rPr>
        <w:t>The most common reason for referral for a post-discharge domiciliary medication review in this</w:t>
      </w:r>
      <w:r w:rsidR="007F1DAE">
        <w:rPr>
          <w:rFonts w:ascii="Arial" w:hAnsi="Arial" w:cs="Arial"/>
          <w:sz w:val="24"/>
          <w:szCs w:val="20"/>
        </w:rPr>
        <w:t xml:space="preserve"> pilot project were changes to </w:t>
      </w:r>
      <w:r>
        <w:rPr>
          <w:rFonts w:ascii="Arial" w:hAnsi="Arial" w:cs="Arial"/>
          <w:sz w:val="24"/>
          <w:szCs w:val="20"/>
        </w:rPr>
        <w:t xml:space="preserve">medicines made in hospital which might need further explanation, followed by the </w:t>
      </w:r>
      <w:r w:rsidR="00B21ABA">
        <w:rPr>
          <w:rFonts w:ascii="Arial" w:hAnsi="Arial" w:cs="Arial"/>
          <w:sz w:val="24"/>
          <w:szCs w:val="20"/>
        </w:rPr>
        <w:t>need for</w:t>
      </w:r>
      <w:r>
        <w:rPr>
          <w:rFonts w:ascii="Arial" w:hAnsi="Arial" w:cs="Arial"/>
          <w:sz w:val="24"/>
          <w:szCs w:val="20"/>
        </w:rPr>
        <w:t xml:space="preserve"> another form of patient education, which could be provided by a pharmacist or pharmacy technician.  </w:t>
      </w:r>
      <w:r w:rsidR="00423F4E">
        <w:rPr>
          <w:rFonts w:ascii="Arial" w:hAnsi="Arial" w:cs="Arial"/>
          <w:sz w:val="24"/>
          <w:szCs w:val="20"/>
        </w:rPr>
        <w:t xml:space="preserve">In addition, almost half of referred patients were taking a medicine felt to be ‘high risk’ which might require extra monitoring and support.  </w:t>
      </w:r>
      <w:r>
        <w:rPr>
          <w:rFonts w:ascii="Arial" w:hAnsi="Arial" w:cs="Arial"/>
          <w:sz w:val="24"/>
          <w:szCs w:val="20"/>
        </w:rPr>
        <w:t>These factors are well in keeping with the ethos of the MUR service</w:t>
      </w:r>
      <w:r w:rsidR="00E238CD">
        <w:rPr>
          <w:rFonts w:ascii="Arial" w:hAnsi="Arial" w:cs="Arial"/>
          <w:sz w:val="24"/>
          <w:szCs w:val="20"/>
        </w:rPr>
        <w:t xml:space="preserve">, which, </w:t>
      </w:r>
      <w:r w:rsidR="00E238CD">
        <w:rPr>
          <w:rFonts w:ascii="Arial" w:hAnsi="Arial" w:cs="Arial"/>
          <w:sz w:val="24"/>
          <w:szCs w:val="20"/>
        </w:rPr>
        <w:lastRenderedPageBreak/>
        <w:t>since 2011, has included recently discharged patients as a target group</w:t>
      </w:r>
      <w:r w:rsidR="00E53F1D">
        <w:rPr>
          <w:rFonts w:ascii="Arial" w:hAnsi="Arial" w:cs="Arial"/>
          <w:sz w:val="24"/>
          <w:szCs w:val="20"/>
        </w:rPr>
        <w:t xml:space="preserve"> [27]</w:t>
      </w:r>
      <w:r w:rsidR="00E238CD">
        <w:rPr>
          <w:rFonts w:ascii="Arial" w:hAnsi="Arial" w:cs="Arial"/>
          <w:sz w:val="24"/>
          <w:szCs w:val="20"/>
        </w:rPr>
        <w:t xml:space="preserve">.  However the numbers of post-discharge MURs </w:t>
      </w:r>
      <w:r w:rsidR="00544415">
        <w:rPr>
          <w:rFonts w:ascii="Arial" w:hAnsi="Arial" w:cs="Arial"/>
          <w:sz w:val="24"/>
          <w:szCs w:val="20"/>
        </w:rPr>
        <w:t xml:space="preserve">(dMURs) conducted by community pharmacists </w:t>
      </w:r>
      <w:r w:rsidR="00E238CD">
        <w:rPr>
          <w:rFonts w:ascii="Arial" w:hAnsi="Arial" w:cs="Arial"/>
          <w:sz w:val="24"/>
          <w:szCs w:val="20"/>
        </w:rPr>
        <w:t xml:space="preserve">has remained low.  </w:t>
      </w:r>
      <w:r w:rsidR="00E238CD" w:rsidRPr="00755123">
        <w:rPr>
          <w:rFonts w:ascii="Arial" w:hAnsi="Arial" w:cs="Arial"/>
          <w:sz w:val="24"/>
          <w:szCs w:val="24"/>
        </w:rPr>
        <w:t>An online survey exploring the provision of dMURs i</w:t>
      </w:r>
      <w:r w:rsidR="00E238CD">
        <w:rPr>
          <w:rFonts w:ascii="Arial" w:hAnsi="Arial" w:cs="Arial"/>
          <w:sz w:val="24"/>
          <w:szCs w:val="24"/>
        </w:rPr>
        <w:t xml:space="preserve">n March 2013 in West Yorkshire </w:t>
      </w:r>
      <w:r w:rsidR="00E238CD" w:rsidRPr="00755123">
        <w:rPr>
          <w:rFonts w:ascii="Arial" w:hAnsi="Arial" w:cs="Arial"/>
          <w:sz w:val="24"/>
          <w:szCs w:val="24"/>
        </w:rPr>
        <w:t>found that although 76% of MURs conducted in the last month were target</w:t>
      </w:r>
      <w:r w:rsidR="00E238CD">
        <w:rPr>
          <w:rFonts w:ascii="Arial" w:hAnsi="Arial" w:cs="Arial"/>
          <w:sz w:val="24"/>
          <w:szCs w:val="24"/>
        </w:rPr>
        <w:t>ed, less than 1% were dMURs</w:t>
      </w:r>
      <w:r w:rsidR="00E53F1D">
        <w:rPr>
          <w:rFonts w:ascii="Arial" w:hAnsi="Arial" w:cs="Arial"/>
          <w:sz w:val="24"/>
          <w:szCs w:val="24"/>
        </w:rPr>
        <w:t xml:space="preserve"> [28]</w:t>
      </w:r>
      <w:r w:rsidR="00E238CD" w:rsidRPr="00755123">
        <w:rPr>
          <w:rFonts w:ascii="Arial" w:hAnsi="Arial" w:cs="Arial"/>
          <w:sz w:val="24"/>
          <w:szCs w:val="24"/>
        </w:rPr>
        <w:t>.  Key barriers to provision were not receiving discharge medication summaries and restrictions on provisions to housebound patients.</w:t>
      </w:r>
      <w:r w:rsidR="00E238CD">
        <w:rPr>
          <w:rFonts w:ascii="Arial" w:hAnsi="Arial" w:cs="Arial"/>
          <w:sz w:val="24"/>
          <w:szCs w:val="24"/>
        </w:rPr>
        <w:t xml:space="preserve">  </w:t>
      </w:r>
    </w:p>
    <w:p w:rsidR="00544415" w:rsidRDefault="00E238CD" w:rsidP="008B6009">
      <w:pPr>
        <w:autoSpaceDE w:val="0"/>
        <w:autoSpaceDN w:val="0"/>
        <w:adjustRightInd w:val="0"/>
        <w:spacing w:after="120"/>
        <w:jc w:val="both"/>
        <w:rPr>
          <w:rFonts w:ascii="Arial" w:hAnsi="Arial" w:cs="Arial"/>
          <w:sz w:val="24"/>
          <w:szCs w:val="24"/>
          <w:vertAlign w:val="superscript"/>
          <w:lang w:eastAsia="en-GB"/>
        </w:rPr>
      </w:pPr>
      <w:r>
        <w:rPr>
          <w:rFonts w:ascii="Arial" w:hAnsi="Arial" w:cs="Arial"/>
          <w:sz w:val="24"/>
          <w:szCs w:val="24"/>
        </w:rPr>
        <w:t>This pilot project circumvented both these issues by being in its nature a domiciliary visit service, and by linking in directly with the pharmacy department at the local hospital.</w:t>
      </w:r>
      <w:r w:rsidR="00B21ABA">
        <w:rPr>
          <w:rFonts w:ascii="Arial" w:hAnsi="Arial" w:cs="Arial"/>
          <w:sz w:val="24"/>
          <w:szCs w:val="24"/>
        </w:rPr>
        <w:t xml:space="preserve">  This is</w:t>
      </w:r>
      <w:r w:rsidR="00544415">
        <w:rPr>
          <w:rFonts w:ascii="Arial" w:hAnsi="Arial" w:cs="Arial"/>
          <w:sz w:val="24"/>
          <w:szCs w:val="24"/>
        </w:rPr>
        <w:t xml:space="preserve"> in line with </w:t>
      </w:r>
      <w:r w:rsidR="00E53F1D">
        <w:rPr>
          <w:rFonts w:ascii="Arial" w:hAnsi="Arial" w:cs="Arial"/>
          <w:sz w:val="24"/>
          <w:szCs w:val="24"/>
        </w:rPr>
        <w:t xml:space="preserve">both the 2009 CQC report on managing medicines after discharge and the </w:t>
      </w:r>
      <w:r w:rsidR="00B21ABA">
        <w:rPr>
          <w:rFonts w:ascii="Arial" w:hAnsi="Arial" w:cs="Arial"/>
          <w:sz w:val="24"/>
          <w:szCs w:val="24"/>
          <w:lang w:eastAsia="en-GB"/>
        </w:rPr>
        <w:t>2012</w:t>
      </w:r>
      <w:r w:rsidR="00E53F1D">
        <w:rPr>
          <w:rFonts w:ascii="Arial" w:hAnsi="Arial" w:cs="Arial"/>
          <w:sz w:val="24"/>
          <w:szCs w:val="24"/>
          <w:lang w:eastAsia="en-GB"/>
        </w:rPr>
        <w:t xml:space="preserve"> DoH action plan on</w:t>
      </w:r>
      <w:r w:rsidR="00544415" w:rsidRPr="00755123">
        <w:rPr>
          <w:rFonts w:ascii="Arial" w:hAnsi="Arial" w:cs="Arial"/>
          <w:sz w:val="24"/>
          <w:szCs w:val="24"/>
          <w:lang w:eastAsia="en-GB"/>
        </w:rPr>
        <w:t xml:space="preserve"> improving the use of medicines</w:t>
      </w:r>
      <w:r w:rsidR="00E53F1D">
        <w:rPr>
          <w:rFonts w:ascii="Arial" w:hAnsi="Arial" w:cs="Arial"/>
          <w:sz w:val="24"/>
          <w:szCs w:val="24"/>
          <w:lang w:eastAsia="en-GB"/>
        </w:rPr>
        <w:t xml:space="preserve"> [13,14]</w:t>
      </w:r>
      <w:r w:rsidR="00544415">
        <w:rPr>
          <w:rFonts w:ascii="Arial" w:hAnsi="Arial" w:cs="Arial"/>
          <w:sz w:val="24"/>
          <w:szCs w:val="24"/>
          <w:lang w:eastAsia="en-GB"/>
        </w:rPr>
        <w:t xml:space="preserve">.  </w:t>
      </w:r>
    </w:p>
    <w:p w:rsidR="00B21ABA" w:rsidRDefault="00423F4E" w:rsidP="008B6009">
      <w:pPr>
        <w:autoSpaceDE w:val="0"/>
        <w:autoSpaceDN w:val="0"/>
        <w:adjustRightInd w:val="0"/>
        <w:spacing w:after="120"/>
        <w:jc w:val="both"/>
        <w:rPr>
          <w:rFonts w:ascii="Arial" w:hAnsi="Arial" w:cs="Arial"/>
          <w:sz w:val="24"/>
          <w:szCs w:val="24"/>
        </w:rPr>
      </w:pPr>
      <w:r>
        <w:rPr>
          <w:rFonts w:ascii="Arial" w:hAnsi="Arial" w:cs="Arial"/>
          <w:sz w:val="24"/>
          <w:szCs w:val="24"/>
        </w:rPr>
        <w:t xml:space="preserve">Again in keeping with the MUR model on which </w:t>
      </w:r>
      <w:r w:rsidR="00B21ABA">
        <w:rPr>
          <w:rFonts w:ascii="Arial" w:hAnsi="Arial" w:cs="Arial"/>
          <w:sz w:val="24"/>
          <w:szCs w:val="24"/>
        </w:rPr>
        <w:t>they were</w:t>
      </w:r>
      <w:r>
        <w:rPr>
          <w:rFonts w:ascii="Arial" w:hAnsi="Arial" w:cs="Arial"/>
          <w:sz w:val="24"/>
          <w:szCs w:val="24"/>
        </w:rPr>
        <w:t xml:space="preserve"> based, the most common interventions </w:t>
      </w:r>
      <w:r w:rsidR="00B21ABA">
        <w:rPr>
          <w:rFonts w:ascii="Arial" w:hAnsi="Arial" w:cs="Arial"/>
          <w:sz w:val="24"/>
          <w:szCs w:val="24"/>
        </w:rPr>
        <w:t>during</w:t>
      </w:r>
      <w:r>
        <w:rPr>
          <w:rFonts w:ascii="Arial" w:hAnsi="Arial" w:cs="Arial"/>
          <w:sz w:val="24"/>
          <w:szCs w:val="24"/>
        </w:rPr>
        <w:t xml:space="preserve"> domiciliary </w:t>
      </w:r>
      <w:r w:rsidR="00B21ABA">
        <w:rPr>
          <w:rFonts w:ascii="Arial" w:hAnsi="Arial" w:cs="Arial"/>
          <w:sz w:val="24"/>
          <w:szCs w:val="24"/>
        </w:rPr>
        <w:t xml:space="preserve">medication reviews were patient education surrounding their medicines, medical condition, self-management and lifestyle.  Half of all patients reviewed received medicines optimisation, whereby their regimen was simplified without compromising clinical efficacy. Such interventions have the potential to improve adherence and also save money by reducing the total number of doses needing to be prescribed and taken.  </w:t>
      </w:r>
    </w:p>
    <w:p w:rsidR="00E238CD" w:rsidRDefault="00B21ABA" w:rsidP="008B6009">
      <w:pPr>
        <w:autoSpaceDE w:val="0"/>
        <w:autoSpaceDN w:val="0"/>
        <w:adjustRightInd w:val="0"/>
        <w:spacing w:after="120"/>
        <w:jc w:val="both"/>
        <w:rPr>
          <w:rFonts w:ascii="Arial" w:hAnsi="Arial" w:cs="Arial"/>
          <w:sz w:val="24"/>
        </w:rPr>
      </w:pPr>
      <w:r>
        <w:rPr>
          <w:rFonts w:ascii="Arial" w:hAnsi="Arial" w:cs="Arial"/>
          <w:sz w:val="24"/>
          <w:szCs w:val="24"/>
        </w:rPr>
        <w:t xml:space="preserve">In nearly a third of cases, the VW-MMT felt that they had prevented or intervened in a critical incident which could have caused substantial harm to the patient. Examples included a patient who, due to an error on their hospital discharge summary had been using two inhalers designed for once daily usage twice a day, a patient whose son was meant to be helping her manage her medicines who had been left on her own and as a result was </w:t>
      </w:r>
      <w:r>
        <w:rPr>
          <w:rFonts w:ascii="Arial" w:hAnsi="Arial" w:cs="Arial"/>
          <w:sz w:val="24"/>
        </w:rPr>
        <w:t>omitting all medicines including apixaban and levothyroxine, and a patient who was still receiving aspirin from the GP despite this having been stopped in hospital due to warfarin being initiated</w:t>
      </w:r>
      <w:r w:rsidRPr="004760F2">
        <w:rPr>
          <w:rFonts w:ascii="Arial" w:hAnsi="Arial" w:cs="Arial"/>
          <w:sz w:val="24"/>
        </w:rPr>
        <w:t xml:space="preserve">.  </w:t>
      </w:r>
    </w:p>
    <w:p w:rsidR="00B21ABA" w:rsidRDefault="00B21ABA" w:rsidP="008B6009">
      <w:pPr>
        <w:autoSpaceDE w:val="0"/>
        <w:autoSpaceDN w:val="0"/>
        <w:adjustRightInd w:val="0"/>
        <w:spacing w:after="120"/>
        <w:jc w:val="both"/>
        <w:rPr>
          <w:rFonts w:ascii="Arial" w:hAnsi="Arial" w:cs="Arial"/>
          <w:bCs/>
          <w:sz w:val="24"/>
        </w:rPr>
      </w:pPr>
      <w:r>
        <w:rPr>
          <w:rFonts w:ascii="Arial" w:hAnsi="Arial" w:cs="Arial"/>
          <w:sz w:val="24"/>
        </w:rPr>
        <w:t>However, the opinion of the VW-MMT of the significance of the interventions made is highly subjective</w:t>
      </w:r>
      <w:r w:rsidR="00F54C42">
        <w:rPr>
          <w:rFonts w:ascii="Arial" w:hAnsi="Arial" w:cs="Arial"/>
          <w:sz w:val="24"/>
        </w:rPr>
        <w:t xml:space="preserve">.  In order to reduce this bias a </w:t>
      </w:r>
      <w:r>
        <w:rPr>
          <w:rFonts w:ascii="Arial" w:hAnsi="Arial" w:cs="Arial"/>
          <w:sz w:val="24"/>
        </w:rPr>
        <w:t>Delphi process</w:t>
      </w:r>
      <w:r w:rsidR="00F54C42">
        <w:rPr>
          <w:rFonts w:ascii="Arial" w:hAnsi="Arial" w:cs="Arial"/>
          <w:sz w:val="24"/>
        </w:rPr>
        <w:t xml:space="preserve"> was employed, utilising the </w:t>
      </w:r>
      <w:r w:rsidR="00F54C42" w:rsidRPr="00B17AA2">
        <w:rPr>
          <w:rFonts w:ascii="Arial" w:hAnsi="Arial" w:cs="Arial"/>
          <w:sz w:val="24"/>
          <w:szCs w:val="20"/>
        </w:rPr>
        <w:t>judgments</w:t>
      </w:r>
      <w:r w:rsidR="00F54C42">
        <w:rPr>
          <w:rFonts w:ascii="Arial" w:hAnsi="Arial" w:cs="Arial"/>
          <w:sz w:val="24"/>
          <w:szCs w:val="20"/>
        </w:rPr>
        <w:t xml:space="preserve"> of independent ‘experts’ (defined here as professionals experienced or practising in the field under study)</w:t>
      </w:r>
      <w:r w:rsidR="00F54C42" w:rsidRPr="00B17AA2">
        <w:rPr>
          <w:rFonts w:ascii="Arial" w:hAnsi="Arial" w:cs="Arial"/>
          <w:sz w:val="24"/>
          <w:szCs w:val="20"/>
        </w:rPr>
        <w:t xml:space="preserve"> on a collective basis</w:t>
      </w:r>
      <w:r w:rsidR="00F54C42">
        <w:rPr>
          <w:rFonts w:ascii="Arial" w:hAnsi="Arial" w:cs="Arial"/>
          <w:sz w:val="24"/>
          <w:szCs w:val="20"/>
        </w:rPr>
        <w:t xml:space="preserve"> which were then collated and</w:t>
      </w:r>
      <w:r w:rsidR="00F54C42">
        <w:rPr>
          <w:rFonts w:ascii="Arial" w:hAnsi="Arial" w:cs="Arial"/>
          <w:sz w:val="24"/>
        </w:rPr>
        <w:t xml:space="preserve"> fed back to the participants</w:t>
      </w:r>
      <w:r w:rsidR="00F54C42" w:rsidRPr="00B17AA2">
        <w:rPr>
          <w:rFonts w:ascii="Arial" w:hAnsi="Arial" w:cs="Arial"/>
          <w:sz w:val="24"/>
        </w:rPr>
        <w:t xml:space="preserve"> </w:t>
      </w:r>
      <w:r w:rsidR="00F54C42">
        <w:rPr>
          <w:rFonts w:ascii="Arial" w:hAnsi="Arial" w:cs="Arial"/>
          <w:sz w:val="24"/>
        </w:rPr>
        <w:t>until a consensus was</w:t>
      </w:r>
      <w:r w:rsidR="00F54C42" w:rsidRPr="00B17AA2">
        <w:rPr>
          <w:rFonts w:ascii="Arial" w:hAnsi="Arial" w:cs="Arial"/>
          <w:sz w:val="24"/>
        </w:rPr>
        <w:t xml:space="preserve"> formed.</w:t>
      </w:r>
      <w:r w:rsidR="00FC04C9">
        <w:rPr>
          <w:rFonts w:ascii="Arial" w:hAnsi="Arial" w:cs="Arial"/>
          <w:sz w:val="24"/>
        </w:rPr>
        <w:t xml:space="preserve">  Using this process, three-quarters of the interventions made by the VW-MMT were judged to be </w:t>
      </w:r>
      <w:r w:rsidR="00FC04C9" w:rsidRPr="00FC04C9">
        <w:rPr>
          <w:rFonts w:ascii="Arial" w:hAnsi="Arial" w:cs="Arial"/>
          <w:bCs/>
          <w:sz w:val="24"/>
        </w:rPr>
        <w:t xml:space="preserve">significant and to result in an improvement in the standard </w:t>
      </w:r>
      <w:r w:rsidR="00FC04C9" w:rsidRPr="00FC04C9">
        <w:rPr>
          <w:rFonts w:ascii="Arial" w:hAnsi="Arial" w:cs="Arial"/>
          <w:sz w:val="24"/>
        </w:rPr>
        <w:t xml:space="preserve">of </w:t>
      </w:r>
      <w:r w:rsidR="00FC04C9" w:rsidRPr="00FC04C9">
        <w:rPr>
          <w:rFonts w:ascii="Arial" w:hAnsi="Arial" w:cs="Arial"/>
          <w:bCs/>
          <w:sz w:val="24"/>
        </w:rPr>
        <w:t>care</w:t>
      </w:r>
      <w:r w:rsidR="00FC04C9">
        <w:rPr>
          <w:rFonts w:ascii="Arial" w:hAnsi="Arial" w:cs="Arial"/>
          <w:bCs/>
          <w:sz w:val="24"/>
        </w:rPr>
        <w:t xml:space="preserve"> for the patient, with a further 10% judged to be </w:t>
      </w:r>
      <w:r w:rsidR="00FC04C9" w:rsidRPr="00AB1072">
        <w:rPr>
          <w:rFonts w:ascii="Arial" w:hAnsi="Arial" w:cs="Arial"/>
          <w:bCs/>
        </w:rPr>
        <w:t xml:space="preserve">very </w:t>
      </w:r>
      <w:r w:rsidR="00FC04C9" w:rsidRPr="00FC04C9">
        <w:rPr>
          <w:rFonts w:ascii="Arial" w:hAnsi="Arial" w:cs="Arial"/>
          <w:bCs/>
          <w:sz w:val="24"/>
        </w:rPr>
        <w:t>significant and to have prevented a major organ failure or adverse reaction of similar importance</w:t>
      </w:r>
      <w:r w:rsidR="00FC04C9">
        <w:rPr>
          <w:rFonts w:ascii="Arial" w:hAnsi="Arial" w:cs="Arial"/>
          <w:bCs/>
          <w:sz w:val="24"/>
        </w:rPr>
        <w:t>.  No interventions were felt to be detrimental to the patient.</w:t>
      </w:r>
    </w:p>
    <w:p w:rsidR="00FC04C9" w:rsidRPr="00FC04C9" w:rsidRDefault="00FC04C9" w:rsidP="008B6009">
      <w:pPr>
        <w:autoSpaceDE w:val="0"/>
        <w:autoSpaceDN w:val="0"/>
        <w:adjustRightInd w:val="0"/>
        <w:spacing w:after="120"/>
        <w:jc w:val="both"/>
        <w:rPr>
          <w:rFonts w:ascii="Arial" w:hAnsi="Arial" w:cs="Arial"/>
          <w:sz w:val="28"/>
        </w:rPr>
      </w:pPr>
      <w:r>
        <w:rPr>
          <w:rFonts w:ascii="Arial" w:hAnsi="Arial" w:cs="Arial"/>
          <w:bCs/>
          <w:sz w:val="24"/>
        </w:rPr>
        <w:t xml:space="preserve">Associating the collectively judged significance of the interventions with a monetary value using the ScHARR model </w:t>
      </w:r>
      <w:r w:rsidR="00E53F1D">
        <w:rPr>
          <w:rFonts w:ascii="Arial" w:hAnsi="Arial" w:cs="Arial"/>
          <w:bCs/>
          <w:sz w:val="24"/>
        </w:rPr>
        <w:t>and</w:t>
      </w:r>
      <w:r>
        <w:rPr>
          <w:rFonts w:ascii="Arial" w:hAnsi="Arial" w:cs="Arial"/>
          <w:bCs/>
          <w:sz w:val="24"/>
        </w:rPr>
        <w:t xml:space="preserve"> adjusting for drug cost savings and pharmacy staff time, the</w:t>
      </w:r>
      <w:r w:rsidR="007F1DAE">
        <w:rPr>
          <w:rFonts w:ascii="Arial" w:hAnsi="Arial" w:cs="Arial"/>
          <w:bCs/>
          <w:sz w:val="24"/>
        </w:rPr>
        <w:t xml:space="preserve"> overall net benefit to the NHS was</w:t>
      </w:r>
      <w:r w:rsidR="00E53F1D">
        <w:rPr>
          <w:rFonts w:ascii="Arial" w:hAnsi="Arial" w:cs="Arial"/>
          <w:bCs/>
          <w:sz w:val="24"/>
        </w:rPr>
        <w:t xml:space="preserve"> estimated at</w:t>
      </w:r>
      <w:r>
        <w:rPr>
          <w:rFonts w:ascii="Arial" w:hAnsi="Arial" w:cs="Arial"/>
          <w:bCs/>
          <w:sz w:val="24"/>
        </w:rPr>
        <w:t xml:space="preserve"> </w:t>
      </w:r>
      <w:r w:rsidR="007F1DAE">
        <w:rPr>
          <w:rFonts w:ascii="Arial" w:hAnsi="Arial" w:cs="Arial"/>
          <w:bCs/>
          <w:sz w:val="24"/>
        </w:rPr>
        <w:t>£157-£341 per review conducted.  This represents approximately a 2 – 5 times return on investment.</w:t>
      </w:r>
    </w:p>
    <w:p w:rsidR="00703DAC" w:rsidRDefault="00703DAC" w:rsidP="008B6009">
      <w:pPr>
        <w:autoSpaceDE w:val="0"/>
        <w:autoSpaceDN w:val="0"/>
        <w:adjustRightInd w:val="0"/>
        <w:jc w:val="both"/>
        <w:rPr>
          <w:rFonts w:ascii="Arial" w:hAnsi="Arial" w:cs="Arial"/>
          <w:sz w:val="24"/>
          <w:szCs w:val="20"/>
        </w:rPr>
      </w:pPr>
      <w:r>
        <w:rPr>
          <w:rFonts w:ascii="Arial" w:hAnsi="Arial" w:cs="Arial"/>
          <w:sz w:val="24"/>
          <w:szCs w:val="20"/>
        </w:rPr>
        <w:t xml:space="preserve">It must be acknowledged that costs and savings set out above are only estimates.  Other possible costs </w:t>
      </w:r>
      <w:r w:rsidR="004175E1">
        <w:rPr>
          <w:rFonts w:ascii="Arial" w:hAnsi="Arial" w:cs="Arial"/>
          <w:sz w:val="24"/>
          <w:szCs w:val="20"/>
        </w:rPr>
        <w:t>include</w:t>
      </w:r>
      <w:r>
        <w:rPr>
          <w:rFonts w:ascii="Arial" w:hAnsi="Arial" w:cs="Arial"/>
          <w:sz w:val="24"/>
          <w:szCs w:val="20"/>
        </w:rPr>
        <w:t xml:space="preserve"> extra work generated for other members of the multidisciplinary team, for example GPs and community pharmacists.  However it is hoped that any initial </w:t>
      </w:r>
      <w:r>
        <w:rPr>
          <w:rFonts w:ascii="Arial" w:hAnsi="Arial" w:cs="Arial"/>
          <w:sz w:val="24"/>
          <w:szCs w:val="20"/>
        </w:rPr>
        <w:lastRenderedPageBreak/>
        <w:t xml:space="preserve">increase in time input required for the reviewed patients would be regained later on as problems and patient needs had been addressed soon after discharge rather than being allowed to escalate. </w:t>
      </w:r>
    </w:p>
    <w:p w:rsidR="005B21B3" w:rsidRDefault="005B21B3" w:rsidP="008B6009">
      <w:pPr>
        <w:autoSpaceDE w:val="0"/>
        <w:autoSpaceDN w:val="0"/>
        <w:adjustRightInd w:val="0"/>
        <w:jc w:val="both"/>
        <w:rPr>
          <w:rFonts w:ascii="Arial" w:hAnsi="Arial" w:cs="Arial"/>
          <w:sz w:val="24"/>
          <w:szCs w:val="20"/>
        </w:rPr>
      </w:pPr>
      <w:r>
        <w:rPr>
          <w:rFonts w:ascii="Arial" w:hAnsi="Arial" w:cs="Arial"/>
          <w:sz w:val="24"/>
          <w:szCs w:val="20"/>
        </w:rPr>
        <w:t xml:space="preserve">As there was no comparison group of patients (who did not receive the intervention) </w:t>
      </w:r>
      <w:r w:rsidR="004325EB">
        <w:rPr>
          <w:rFonts w:ascii="Arial" w:hAnsi="Arial" w:cs="Arial"/>
          <w:sz w:val="24"/>
          <w:szCs w:val="20"/>
        </w:rPr>
        <w:t>with whom to compare readmission</w:t>
      </w:r>
      <w:r>
        <w:rPr>
          <w:rFonts w:ascii="Arial" w:hAnsi="Arial" w:cs="Arial"/>
          <w:sz w:val="24"/>
          <w:szCs w:val="20"/>
        </w:rPr>
        <w:t xml:space="preserve"> rates, it is not possible to analyse the effect of the intervention on readmissions.  In 2012, the national 30-day readmission rate for adult patients was 12%, rising to</w:t>
      </w:r>
      <w:r w:rsidR="00E53F1D">
        <w:rPr>
          <w:rFonts w:ascii="Arial" w:hAnsi="Arial" w:cs="Arial"/>
          <w:sz w:val="24"/>
          <w:szCs w:val="20"/>
        </w:rPr>
        <w:t xml:space="preserve"> 15% for those aged over 75 [29,30</w:t>
      </w:r>
      <w:r>
        <w:rPr>
          <w:rFonts w:ascii="Arial" w:hAnsi="Arial" w:cs="Arial"/>
          <w:sz w:val="24"/>
          <w:szCs w:val="20"/>
        </w:rPr>
        <w:t xml:space="preserve">].  In addition, a recent service evaluation </w:t>
      </w:r>
      <w:r w:rsidRPr="00755123">
        <w:rPr>
          <w:rFonts w:ascii="Arial" w:hAnsi="Arial" w:cs="Arial"/>
          <w:sz w:val="24"/>
          <w:szCs w:val="24"/>
        </w:rPr>
        <w:t>of the introductio</w:t>
      </w:r>
      <w:r w:rsidR="004325EB">
        <w:rPr>
          <w:rFonts w:ascii="Arial" w:hAnsi="Arial" w:cs="Arial"/>
          <w:sz w:val="24"/>
          <w:szCs w:val="24"/>
        </w:rPr>
        <w:t>n of a Medicines Care Plan</w:t>
      </w:r>
      <w:r w:rsidRPr="00755123">
        <w:rPr>
          <w:rFonts w:ascii="Arial" w:hAnsi="Arial" w:cs="Arial"/>
          <w:sz w:val="24"/>
          <w:szCs w:val="24"/>
        </w:rPr>
        <w:t xml:space="preserve"> for</w:t>
      </w:r>
      <w:r>
        <w:rPr>
          <w:rFonts w:ascii="Arial" w:hAnsi="Arial" w:cs="Arial"/>
          <w:sz w:val="24"/>
          <w:szCs w:val="24"/>
        </w:rPr>
        <w:t xml:space="preserve"> ‘at-risk’</w:t>
      </w:r>
      <w:r w:rsidRPr="00755123">
        <w:rPr>
          <w:rFonts w:ascii="Arial" w:hAnsi="Arial" w:cs="Arial"/>
          <w:sz w:val="24"/>
          <w:szCs w:val="24"/>
        </w:rPr>
        <w:t xml:space="preserve"> patients discharged from elderly care wards at a larg</w:t>
      </w:r>
      <w:r>
        <w:rPr>
          <w:rFonts w:ascii="Arial" w:hAnsi="Arial" w:cs="Arial"/>
          <w:sz w:val="24"/>
          <w:szCs w:val="24"/>
        </w:rPr>
        <w:t>e English teaching hospital</w:t>
      </w:r>
      <w:r>
        <w:rPr>
          <w:rFonts w:ascii="Arial" w:hAnsi="Arial" w:cs="Arial"/>
          <w:sz w:val="24"/>
          <w:szCs w:val="20"/>
        </w:rPr>
        <w:t xml:space="preserve"> reported a 30 day readmission rate of 22% in a comparison group of patients who did not receive their int</w:t>
      </w:r>
      <w:r w:rsidR="00E53F1D">
        <w:rPr>
          <w:rFonts w:ascii="Arial" w:hAnsi="Arial" w:cs="Arial"/>
          <w:sz w:val="24"/>
          <w:szCs w:val="20"/>
        </w:rPr>
        <w:t>ervention [31</w:t>
      </w:r>
      <w:r>
        <w:rPr>
          <w:rFonts w:ascii="Arial" w:hAnsi="Arial" w:cs="Arial"/>
          <w:sz w:val="24"/>
          <w:szCs w:val="20"/>
        </w:rPr>
        <w:t xml:space="preserve">].  </w:t>
      </w:r>
    </w:p>
    <w:p w:rsidR="005B21B3" w:rsidRDefault="005B21B3" w:rsidP="008B6009">
      <w:pPr>
        <w:autoSpaceDE w:val="0"/>
        <w:autoSpaceDN w:val="0"/>
        <w:adjustRightInd w:val="0"/>
        <w:jc w:val="both"/>
        <w:rPr>
          <w:rFonts w:ascii="Arial" w:hAnsi="Arial" w:cs="Arial"/>
          <w:sz w:val="24"/>
          <w:szCs w:val="20"/>
        </w:rPr>
      </w:pPr>
      <w:r>
        <w:rPr>
          <w:rFonts w:ascii="Arial" w:hAnsi="Arial" w:cs="Arial"/>
          <w:sz w:val="24"/>
          <w:szCs w:val="20"/>
        </w:rPr>
        <w:t>National 6 month readmission rates are not easily available, but 2 UK studies evaluating the effect of domiciliary medication reviews in elderly patients found 6-month readmission rates of 28% and 32% in their control groups</w:t>
      </w:r>
      <w:r w:rsidR="00E53F1D">
        <w:rPr>
          <w:rFonts w:ascii="Arial" w:hAnsi="Arial" w:cs="Arial"/>
          <w:sz w:val="24"/>
          <w:szCs w:val="20"/>
        </w:rPr>
        <w:t xml:space="preserve"> [32,33]</w:t>
      </w:r>
      <w:r>
        <w:rPr>
          <w:rFonts w:ascii="Arial" w:hAnsi="Arial" w:cs="Arial"/>
          <w:sz w:val="24"/>
          <w:szCs w:val="20"/>
        </w:rPr>
        <w:t>.</w:t>
      </w:r>
    </w:p>
    <w:p w:rsidR="005B21B3" w:rsidRDefault="005B21B3" w:rsidP="008B6009">
      <w:pPr>
        <w:autoSpaceDE w:val="0"/>
        <w:autoSpaceDN w:val="0"/>
        <w:adjustRightInd w:val="0"/>
        <w:jc w:val="both"/>
        <w:rPr>
          <w:rFonts w:ascii="Arial" w:hAnsi="Arial" w:cs="Arial"/>
          <w:sz w:val="24"/>
          <w:szCs w:val="20"/>
        </w:rPr>
      </w:pPr>
      <w:r>
        <w:rPr>
          <w:rFonts w:ascii="Arial" w:hAnsi="Arial" w:cs="Arial"/>
          <w:sz w:val="24"/>
          <w:szCs w:val="20"/>
        </w:rPr>
        <w:t>The higher readmission rate</w:t>
      </w:r>
      <w:r w:rsidR="004325EB">
        <w:rPr>
          <w:rFonts w:ascii="Arial" w:hAnsi="Arial" w:cs="Arial"/>
          <w:sz w:val="24"/>
          <w:szCs w:val="20"/>
        </w:rPr>
        <w:t>s in patients reviewed by the VW-MMT</w:t>
      </w:r>
      <w:r>
        <w:rPr>
          <w:rFonts w:ascii="Arial" w:hAnsi="Arial" w:cs="Arial"/>
          <w:sz w:val="24"/>
          <w:szCs w:val="20"/>
        </w:rPr>
        <w:t xml:space="preserve"> could be a reflection of the high risk nature of the patients recruited, such that it was not possible for a pharmaceutical intervention to prevent the readmission.</w:t>
      </w:r>
      <w:r w:rsidR="007F1DAE">
        <w:rPr>
          <w:rFonts w:ascii="Arial" w:hAnsi="Arial" w:cs="Arial"/>
          <w:sz w:val="24"/>
          <w:szCs w:val="20"/>
        </w:rPr>
        <w:t xml:space="preserve">  </w:t>
      </w:r>
      <w:r w:rsidR="00213DC0">
        <w:rPr>
          <w:rFonts w:ascii="Arial" w:hAnsi="Arial" w:cs="Arial"/>
          <w:sz w:val="24"/>
          <w:szCs w:val="20"/>
        </w:rPr>
        <w:t xml:space="preserve">Instead the value represented by the interventions of the VW-MMT may manifest in other ways, such as a reduced need for GP visits, reduction in side effects or increased clinical benefit from medicines below the threshold for requiring readmission, increased independence and reduced reliance on carers to aid in the management of medication.  </w:t>
      </w:r>
    </w:p>
    <w:p w:rsidR="00213DC0" w:rsidRDefault="00213DC0" w:rsidP="008B6009">
      <w:pPr>
        <w:autoSpaceDE w:val="0"/>
        <w:autoSpaceDN w:val="0"/>
        <w:adjustRightInd w:val="0"/>
        <w:jc w:val="both"/>
        <w:rPr>
          <w:rFonts w:ascii="Arial" w:hAnsi="Arial" w:cs="Arial"/>
          <w:sz w:val="24"/>
          <w:szCs w:val="20"/>
        </w:rPr>
      </w:pPr>
      <w:r>
        <w:rPr>
          <w:rFonts w:ascii="Arial" w:hAnsi="Arial" w:cs="Arial"/>
          <w:sz w:val="24"/>
          <w:szCs w:val="20"/>
        </w:rPr>
        <w:t>These outcomes were not studied during this pilot service evaluation due to time and resource constraints.  However the improvement in self-reported adherence following the input of the VW-MMT does go some way to suggest that appropriateness of medication use was increased</w:t>
      </w:r>
      <w:r w:rsidR="00A50BF5">
        <w:rPr>
          <w:rFonts w:ascii="Arial" w:hAnsi="Arial" w:cs="Arial"/>
          <w:sz w:val="24"/>
          <w:szCs w:val="20"/>
        </w:rPr>
        <w:t>, which may be considered a proxy measure for some of the above outcomes</w:t>
      </w:r>
      <w:r>
        <w:rPr>
          <w:rFonts w:ascii="Arial" w:hAnsi="Arial" w:cs="Arial"/>
          <w:sz w:val="24"/>
          <w:szCs w:val="20"/>
        </w:rPr>
        <w:t>.  Although self-reported adherence may overestimate actual adherence, the improvement in scores compared to baseline is encouraging in terms of patients experiencing fewer problems with understanding and use of medication</w:t>
      </w:r>
      <w:r w:rsidR="00A50BF5">
        <w:rPr>
          <w:rFonts w:ascii="Arial" w:hAnsi="Arial" w:cs="Arial"/>
          <w:sz w:val="24"/>
          <w:szCs w:val="20"/>
        </w:rPr>
        <w:t>, and missing doses.</w:t>
      </w:r>
    </w:p>
    <w:p w:rsidR="008B6009" w:rsidRDefault="00B21ABA" w:rsidP="008B6009">
      <w:pPr>
        <w:autoSpaceDE w:val="0"/>
        <w:autoSpaceDN w:val="0"/>
        <w:adjustRightInd w:val="0"/>
        <w:spacing w:after="120"/>
        <w:jc w:val="both"/>
        <w:rPr>
          <w:rFonts w:ascii="Arial" w:hAnsi="Arial" w:cs="Arial"/>
          <w:sz w:val="24"/>
        </w:rPr>
      </w:pPr>
      <w:r w:rsidRPr="00B21ABA">
        <w:rPr>
          <w:rFonts w:ascii="Arial" w:hAnsi="Arial" w:cs="Arial"/>
          <w:sz w:val="24"/>
        </w:rPr>
        <w:t xml:space="preserve">The small number of patients in this pilot service evaluation means findings need to be interpreted with caution.  </w:t>
      </w:r>
      <w:r w:rsidR="007F1DAE" w:rsidRPr="008B6009">
        <w:rPr>
          <w:rFonts w:ascii="Arial" w:hAnsi="Arial" w:cs="Arial"/>
          <w:sz w:val="24"/>
        </w:rPr>
        <w:t>It should also be noted that using a Delphi process to gain consensus</w:t>
      </w:r>
      <w:r w:rsidR="008B6009">
        <w:rPr>
          <w:rFonts w:ascii="Arial" w:hAnsi="Arial" w:cs="Arial"/>
          <w:sz w:val="24"/>
        </w:rPr>
        <w:t xml:space="preserve"> as to the value of the interventions made</w:t>
      </w:r>
      <w:r w:rsidR="007F1DAE" w:rsidRPr="008B6009">
        <w:rPr>
          <w:rFonts w:ascii="Arial" w:hAnsi="Arial" w:cs="Arial"/>
          <w:sz w:val="24"/>
        </w:rPr>
        <w:t xml:space="preserve"> is still based on subjective opinion</w:t>
      </w:r>
      <w:r w:rsidR="008B6009">
        <w:rPr>
          <w:rFonts w:ascii="Arial" w:hAnsi="Arial" w:cs="Arial"/>
          <w:sz w:val="24"/>
        </w:rPr>
        <w:t xml:space="preserve"> rather than actual patient outcomes.  </w:t>
      </w:r>
    </w:p>
    <w:p w:rsidR="008B6009" w:rsidRPr="008B6009" w:rsidRDefault="008B6009" w:rsidP="008B6009">
      <w:pPr>
        <w:autoSpaceDE w:val="0"/>
        <w:autoSpaceDN w:val="0"/>
        <w:adjustRightInd w:val="0"/>
        <w:spacing w:after="120"/>
        <w:jc w:val="both"/>
        <w:rPr>
          <w:rFonts w:ascii="Arial" w:hAnsi="Arial" w:cs="Arial"/>
          <w:b/>
          <w:sz w:val="24"/>
        </w:rPr>
      </w:pPr>
      <w:r w:rsidRPr="008B6009">
        <w:rPr>
          <w:rFonts w:ascii="Arial" w:hAnsi="Arial" w:cs="Arial"/>
          <w:b/>
          <w:sz w:val="24"/>
        </w:rPr>
        <w:t>Conclusions</w:t>
      </w:r>
    </w:p>
    <w:p w:rsidR="008B6009" w:rsidRDefault="008B6009" w:rsidP="008B6009">
      <w:pPr>
        <w:autoSpaceDE w:val="0"/>
        <w:autoSpaceDN w:val="0"/>
        <w:adjustRightInd w:val="0"/>
        <w:spacing w:after="120"/>
        <w:jc w:val="both"/>
        <w:rPr>
          <w:rFonts w:ascii="Arial" w:hAnsi="Arial" w:cs="Arial"/>
          <w:sz w:val="24"/>
        </w:rPr>
      </w:pPr>
      <w:r>
        <w:rPr>
          <w:rFonts w:ascii="Arial" w:hAnsi="Arial" w:cs="Arial"/>
          <w:sz w:val="24"/>
        </w:rPr>
        <w:t xml:space="preserve">Despite the stated limitations, this pilot project has demonstrated that it is feasible to set up a small-scale referral service between hospital and primary care pharmacy.  </w:t>
      </w:r>
    </w:p>
    <w:p w:rsidR="008B6009" w:rsidRDefault="008B6009" w:rsidP="008B6009">
      <w:pPr>
        <w:autoSpaceDE w:val="0"/>
        <w:autoSpaceDN w:val="0"/>
        <w:adjustRightInd w:val="0"/>
        <w:spacing w:after="120"/>
        <w:jc w:val="both"/>
        <w:rPr>
          <w:rFonts w:ascii="Arial" w:hAnsi="Arial" w:cs="Arial"/>
          <w:sz w:val="24"/>
        </w:rPr>
      </w:pPr>
      <w:r>
        <w:rPr>
          <w:rFonts w:ascii="Arial" w:hAnsi="Arial" w:cs="Arial"/>
          <w:sz w:val="24"/>
        </w:rPr>
        <w:t xml:space="preserve">From the results presented, it appears that post-discharge domiciliary medication reviews have the potential to improve clinical care of vulnerable patients, reduce drug costs and improve medicines adherence.  The VW-MMT service may provide an important </w:t>
      </w:r>
      <w:r>
        <w:rPr>
          <w:rFonts w:ascii="Arial" w:hAnsi="Arial" w:cs="Arial"/>
          <w:sz w:val="24"/>
        </w:rPr>
        <w:lastRenderedPageBreak/>
        <w:t>supplement to the community pharmacy MUR service, due to reported difficulties in providing MURs to housebound patients and in community pharmacists identifying which patients could benefit.  The CCG VW-MMT also have the advantage of access to GP clinical records and an established working relationship with GP practices which may make appropriate interventions easier to make and to action.  A fully integrated service between hospital, primary care and community pharmacy could see more mobile and less complex patients referred for a community pharmacy dMUR, while those who are housebound or have problems requiring read/write access to GP records are referred to the VW-MMT.  However in order for this to become a reality, support for the hospital staff to make referrals more efficiently would be needed.</w:t>
      </w:r>
    </w:p>
    <w:p w:rsidR="008B6009" w:rsidRDefault="008B6009" w:rsidP="008B6009">
      <w:pPr>
        <w:autoSpaceDE w:val="0"/>
        <w:autoSpaceDN w:val="0"/>
        <w:adjustRightInd w:val="0"/>
        <w:spacing w:after="120"/>
        <w:jc w:val="both"/>
        <w:rPr>
          <w:rFonts w:ascii="Arial" w:hAnsi="Arial" w:cs="Arial"/>
          <w:sz w:val="24"/>
        </w:rPr>
      </w:pPr>
      <w:r>
        <w:rPr>
          <w:rFonts w:ascii="Arial" w:hAnsi="Arial" w:cs="Arial"/>
          <w:sz w:val="24"/>
        </w:rPr>
        <w:t>A further, larger project involving more patients and pharmacy staff, a comparison group, and accurate measurement of a wider range of outcomes would help to confirm the value of such a service to the NHS.</w:t>
      </w:r>
    </w:p>
    <w:p w:rsidR="00E53F1D" w:rsidRDefault="00E53F1D" w:rsidP="008B6009">
      <w:pPr>
        <w:autoSpaceDE w:val="0"/>
        <w:autoSpaceDN w:val="0"/>
        <w:adjustRightInd w:val="0"/>
        <w:spacing w:after="120"/>
        <w:jc w:val="both"/>
        <w:rPr>
          <w:rFonts w:ascii="Arial" w:hAnsi="Arial" w:cs="Arial"/>
          <w:b/>
          <w:sz w:val="24"/>
          <w:szCs w:val="24"/>
        </w:rPr>
      </w:pPr>
    </w:p>
    <w:p w:rsidR="008B6009" w:rsidRPr="00E53F1D" w:rsidRDefault="00E53F1D" w:rsidP="008B6009">
      <w:pPr>
        <w:autoSpaceDE w:val="0"/>
        <w:autoSpaceDN w:val="0"/>
        <w:adjustRightInd w:val="0"/>
        <w:spacing w:after="120"/>
        <w:jc w:val="both"/>
        <w:rPr>
          <w:rFonts w:ascii="Arial" w:hAnsi="Arial" w:cs="Arial"/>
          <w:b/>
          <w:sz w:val="24"/>
          <w:szCs w:val="24"/>
        </w:rPr>
      </w:pPr>
      <w:r w:rsidRPr="00E53F1D">
        <w:rPr>
          <w:rFonts w:ascii="Arial" w:hAnsi="Arial" w:cs="Arial"/>
          <w:b/>
          <w:sz w:val="24"/>
          <w:szCs w:val="24"/>
        </w:rPr>
        <w:t>References</w:t>
      </w:r>
    </w:p>
    <w:p w:rsidR="00E53F1D" w:rsidRPr="00E53F1D" w:rsidRDefault="00E53F1D" w:rsidP="00E53F1D">
      <w:pPr>
        <w:numPr>
          <w:ilvl w:val="0"/>
          <w:numId w:val="2"/>
        </w:numPr>
        <w:autoSpaceDE w:val="0"/>
        <w:autoSpaceDN w:val="0"/>
        <w:adjustRightInd w:val="0"/>
        <w:spacing w:after="120" w:line="240" w:lineRule="auto"/>
        <w:ind w:left="357" w:hanging="357"/>
        <w:rPr>
          <w:rFonts w:ascii="Arial" w:eastAsia="Times New Roman" w:hAnsi="Arial" w:cs="Arial"/>
          <w:sz w:val="20"/>
          <w:szCs w:val="20"/>
          <w:lang w:eastAsia="en-GB"/>
        </w:rPr>
      </w:pPr>
      <w:r w:rsidRPr="00E53F1D">
        <w:rPr>
          <w:rFonts w:ascii="Arial" w:hAnsi="Arial" w:cs="Arial"/>
          <w:sz w:val="20"/>
          <w:szCs w:val="20"/>
        </w:rPr>
        <w:t xml:space="preserve">Kripalani S, Jackson At, Schnipper JL, Coleman E.  Promoting effective transitions of care at hospital discharge: A review of the key issues for hospitals. </w:t>
      </w:r>
      <w:r w:rsidRPr="00E53F1D">
        <w:rPr>
          <w:rFonts w:ascii="Arial" w:hAnsi="Arial" w:cs="Arial"/>
          <w:i/>
          <w:sz w:val="20"/>
          <w:szCs w:val="20"/>
        </w:rPr>
        <w:t>J Hosp Med</w:t>
      </w:r>
      <w:r w:rsidRPr="00E53F1D">
        <w:rPr>
          <w:rFonts w:ascii="Arial" w:hAnsi="Arial" w:cs="Arial"/>
          <w:sz w:val="20"/>
          <w:szCs w:val="20"/>
        </w:rPr>
        <w:t xml:space="preserve"> 2007;2(5):314-323</w:t>
      </w:r>
    </w:p>
    <w:p w:rsidR="00E53F1D" w:rsidRPr="00E53F1D" w:rsidRDefault="00E53F1D" w:rsidP="00E53F1D">
      <w:pPr>
        <w:pStyle w:val="ListParagraph"/>
        <w:numPr>
          <w:ilvl w:val="0"/>
          <w:numId w:val="2"/>
        </w:numPr>
        <w:spacing w:after="120"/>
        <w:jc w:val="both"/>
        <w:rPr>
          <w:rFonts w:ascii="Arial" w:hAnsi="Arial" w:cs="Arial"/>
          <w:sz w:val="20"/>
          <w:szCs w:val="20"/>
        </w:rPr>
      </w:pPr>
      <w:r w:rsidRPr="00E53F1D">
        <w:rPr>
          <w:rFonts w:ascii="Arial" w:hAnsi="Arial" w:cs="Arial"/>
          <w:sz w:val="20"/>
          <w:szCs w:val="20"/>
        </w:rPr>
        <w:t>Himmel W, Tabache M, Kochen MM. What happens to long term medication when general practice patients are referred to hospital?. Eur J Clin Pharmacol 1996 1996;50(4):253-257.</w:t>
      </w:r>
    </w:p>
    <w:p w:rsidR="00E53F1D" w:rsidRPr="00E53F1D" w:rsidRDefault="00E53F1D" w:rsidP="00E53F1D">
      <w:pPr>
        <w:numPr>
          <w:ilvl w:val="0"/>
          <w:numId w:val="2"/>
        </w:numPr>
        <w:spacing w:after="120" w:line="240" w:lineRule="auto"/>
        <w:ind w:left="357" w:hanging="357"/>
        <w:jc w:val="both"/>
        <w:rPr>
          <w:rFonts w:ascii="Arial" w:hAnsi="Arial" w:cs="Arial"/>
          <w:sz w:val="20"/>
          <w:szCs w:val="20"/>
        </w:rPr>
      </w:pPr>
      <w:r w:rsidRPr="00E53F1D">
        <w:rPr>
          <w:rFonts w:ascii="Arial" w:hAnsi="Arial" w:cs="Arial"/>
          <w:sz w:val="20"/>
          <w:szCs w:val="20"/>
        </w:rPr>
        <w:t xml:space="preserve">Himmel W, Kochen MM, Sorns U, Hummers-Pradier E. Drug changes at the interface between primary and secondary care. Int J Clin Pharmacol Ther 2004 February 2004;42(2):103-109. </w:t>
      </w:r>
    </w:p>
    <w:p w:rsidR="00E53F1D" w:rsidRPr="00E53F1D" w:rsidRDefault="00E53F1D" w:rsidP="00E53F1D">
      <w:pPr>
        <w:numPr>
          <w:ilvl w:val="0"/>
          <w:numId w:val="2"/>
        </w:numPr>
        <w:spacing w:after="120" w:line="240" w:lineRule="auto"/>
        <w:ind w:left="357" w:hanging="357"/>
        <w:jc w:val="both"/>
        <w:rPr>
          <w:rFonts w:ascii="Arial" w:hAnsi="Arial" w:cs="Arial"/>
          <w:sz w:val="20"/>
          <w:szCs w:val="20"/>
        </w:rPr>
      </w:pPr>
      <w:r w:rsidRPr="00E53F1D">
        <w:rPr>
          <w:rFonts w:ascii="Arial" w:hAnsi="Arial" w:cs="Arial"/>
          <w:sz w:val="20"/>
          <w:szCs w:val="20"/>
        </w:rPr>
        <w:t xml:space="preserve">Mansur N, Weiss A, Beloosesky Y. Relationship of In-Hospital Medication Modifications of Elderly Patients to Postdischarge Medications, Adherence, and Mortality. The Annals of Pharmacotherapy 2008 June 01;42(6):783-789. </w:t>
      </w:r>
    </w:p>
    <w:p w:rsidR="00210E33" w:rsidRPr="00E53F1D" w:rsidRDefault="00E53F1D" w:rsidP="00E53F1D">
      <w:pPr>
        <w:numPr>
          <w:ilvl w:val="0"/>
          <w:numId w:val="2"/>
        </w:numPr>
        <w:autoSpaceDE w:val="0"/>
        <w:autoSpaceDN w:val="0"/>
        <w:adjustRightInd w:val="0"/>
        <w:spacing w:after="120" w:line="240" w:lineRule="auto"/>
        <w:ind w:left="357" w:hanging="357"/>
        <w:rPr>
          <w:rStyle w:val="Hyperlink"/>
          <w:rFonts w:ascii="Arial" w:hAnsi="Arial" w:cs="Arial"/>
          <w:color w:val="auto"/>
          <w:sz w:val="20"/>
          <w:szCs w:val="20"/>
          <w:u w:val="none"/>
        </w:rPr>
      </w:pPr>
      <w:r w:rsidRPr="00E53F1D">
        <w:rPr>
          <w:rFonts w:ascii="Arial" w:hAnsi="Arial" w:cs="Arial"/>
          <w:sz w:val="20"/>
          <w:szCs w:val="20"/>
        </w:rPr>
        <w:t xml:space="preserve">National Institute of Health and Care Excellence (2015). </w:t>
      </w:r>
      <w:r w:rsidRPr="00E53F1D">
        <w:rPr>
          <w:rFonts w:ascii="Arial" w:hAnsi="Arial" w:cs="Arial"/>
          <w:i/>
          <w:iCs/>
          <w:sz w:val="20"/>
          <w:szCs w:val="20"/>
        </w:rPr>
        <w:t>Medicines optimisation: the safe and effective use of medicines to enable the best possible outcomes</w:t>
      </w:r>
      <w:r w:rsidRPr="00E53F1D">
        <w:rPr>
          <w:rFonts w:ascii="Arial" w:hAnsi="Arial" w:cs="Arial"/>
          <w:sz w:val="20"/>
          <w:szCs w:val="20"/>
        </w:rPr>
        <w:t xml:space="preserve">. Available online: </w:t>
      </w:r>
      <w:hyperlink r:id="rId9" w:history="1">
        <w:r w:rsidRPr="00E53F1D">
          <w:rPr>
            <w:rStyle w:val="Hyperlink"/>
            <w:rFonts w:ascii="Arial" w:hAnsi="Arial" w:cs="Arial"/>
            <w:sz w:val="20"/>
            <w:szCs w:val="20"/>
          </w:rPr>
          <w:t>www.nice.org.uk/guidance/ng</w:t>
        </w:r>
      </w:hyperlink>
    </w:p>
    <w:p w:rsidR="00E53F1D" w:rsidRPr="00E53F1D" w:rsidRDefault="00E53F1D" w:rsidP="00E53F1D">
      <w:pPr>
        <w:pStyle w:val="Default"/>
        <w:numPr>
          <w:ilvl w:val="0"/>
          <w:numId w:val="2"/>
        </w:numPr>
        <w:spacing w:after="120"/>
        <w:ind w:left="357" w:hanging="357"/>
        <w:rPr>
          <w:sz w:val="20"/>
          <w:szCs w:val="20"/>
        </w:rPr>
      </w:pPr>
      <w:r w:rsidRPr="00E53F1D">
        <w:rPr>
          <w:sz w:val="20"/>
          <w:szCs w:val="20"/>
        </w:rPr>
        <w:t>Forster AJ, Murff HJ, Peterson JF, Gandhi TK, Bates DW. Adverse drug events occurring following hospital discharge. Journal of General Internal Medicine 2005;20(4):317-323.</w:t>
      </w:r>
    </w:p>
    <w:p w:rsidR="00E53F1D" w:rsidRPr="00E53F1D" w:rsidRDefault="00E53F1D" w:rsidP="00E53F1D">
      <w:pPr>
        <w:numPr>
          <w:ilvl w:val="0"/>
          <w:numId w:val="2"/>
        </w:numPr>
        <w:spacing w:after="120" w:line="240" w:lineRule="auto"/>
        <w:ind w:left="357" w:hanging="357"/>
        <w:jc w:val="both"/>
        <w:rPr>
          <w:rFonts w:ascii="Arial" w:hAnsi="Arial" w:cs="Arial"/>
          <w:sz w:val="20"/>
          <w:szCs w:val="20"/>
        </w:rPr>
      </w:pPr>
      <w:r w:rsidRPr="00E53F1D">
        <w:rPr>
          <w:rFonts w:ascii="Arial" w:hAnsi="Arial" w:cs="Arial"/>
          <w:sz w:val="20"/>
          <w:szCs w:val="20"/>
        </w:rPr>
        <w:t xml:space="preserve">Thompson-Moore N, Liebl M, G. Health care system vulnerabilities: Understanding the root causes of patient harm. AM J HEALTH SYST PHARM AJHP 2012 2012;69(5):431-436. </w:t>
      </w:r>
    </w:p>
    <w:p w:rsidR="00E53F1D" w:rsidRDefault="00E53F1D" w:rsidP="00E53F1D">
      <w:pPr>
        <w:numPr>
          <w:ilvl w:val="0"/>
          <w:numId w:val="2"/>
        </w:numPr>
        <w:spacing w:after="120" w:line="240" w:lineRule="auto"/>
        <w:jc w:val="both"/>
        <w:rPr>
          <w:rFonts w:ascii="Arial" w:hAnsi="Arial" w:cs="Arial"/>
          <w:sz w:val="20"/>
          <w:szCs w:val="20"/>
        </w:rPr>
      </w:pPr>
      <w:r w:rsidRPr="00E53F1D">
        <w:rPr>
          <w:rFonts w:ascii="Arial" w:hAnsi="Arial" w:cs="Arial"/>
          <w:sz w:val="20"/>
          <w:szCs w:val="20"/>
        </w:rPr>
        <w:t xml:space="preserve">Kostas T., Paquin A.M., Zimmerman K., Simone M., Skarf L.M., Rudolph JL. Characterizing medication discrepancies among older adults during transitions of care: A systematic review focusing on discrepancy synonyms, data sources and classification terms. Aging Health 2013 October 2013;9(5):497-508. </w:t>
      </w:r>
    </w:p>
    <w:p w:rsidR="00E53F1D" w:rsidRPr="00827E9F" w:rsidRDefault="00E53F1D" w:rsidP="00E53F1D">
      <w:pPr>
        <w:numPr>
          <w:ilvl w:val="0"/>
          <w:numId w:val="2"/>
        </w:numPr>
        <w:spacing w:after="120" w:line="240" w:lineRule="auto"/>
        <w:ind w:left="357"/>
        <w:rPr>
          <w:rFonts w:ascii="Arial" w:hAnsi="Arial" w:cs="Arial"/>
          <w:sz w:val="20"/>
          <w:szCs w:val="20"/>
        </w:rPr>
      </w:pPr>
      <w:r w:rsidRPr="00827E9F">
        <w:rPr>
          <w:rFonts w:ascii="Arial" w:hAnsi="Arial" w:cs="Arial"/>
          <w:sz w:val="20"/>
          <w:szCs w:val="20"/>
        </w:rPr>
        <w:t>Morse A, Comptroller and Auditor General.  Emergency Admissions to Hospital: Managing the Demand.  National Audit Office; 2013</w:t>
      </w:r>
    </w:p>
    <w:p w:rsidR="00E53F1D" w:rsidRPr="00E53F1D" w:rsidRDefault="00E53F1D" w:rsidP="00E53F1D">
      <w:pPr>
        <w:pStyle w:val="NormalWeb"/>
        <w:numPr>
          <w:ilvl w:val="0"/>
          <w:numId w:val="2"/>
        </w:numPr>
        <w:spacing w:after="120" w:afterAutospacing="0"/>
        <w:rPr>
          <w:rFonts w:ascii="Arial" w:hAnsi="Arial" w:cs="Arial"/>
          <w:sz w:val="20"/>
          <w:szCs w:val="20"/>
        </w:rPr>
      </w:pPr>
      <w:r w:rsidRPr="005F3397">
        <w:rPr>
          <w:rFonts w:ascii="Arial" w:hAnsi="Arial" w:cs="Arial"/>
          <w:sz w:val="20"/>
          <w:szCs w:val="20"/>
        </w:rPr>
        <w:t>Billings J, Blunt I, Steventon A, Georghiou T, Lewis G, Bardsley M. A predictive model to identify inpatients at risk of re-admission within 30 days.  BMJ Open 2012;00:e001667. doi:10.1136/bmjopen-2012-001667</w:t>
      </w:r>
    </w:p>
    <w:p w:rsidR="00E53F1D" w:rsidRPr="00E53F1D" w:rsidRDefault="00E53F1D" w:rsidP="00E53F1D">
      <w:pPr>
        <w:pStyle w:val="NormalWeb"/>
        <w:numPr>
          <w:ilvl w:val="0"/>
          <w:numId w:val="2"/>
        </w:numPr>
        <w:spacing w:after="120" w:afterAutospacing="0"/>
        <w:rPr>
          <w:rFonts w:ascii="Arial" w:hAnsi="Arial" w:cs="Arial"/>
          <w:sz w:val="20"/>
          <w:szCs w:val="20"/>
        </w:rPr>
      </w:pPr>
      <w:r w:rsidRPr="00E53F1D">
        <w:rPr>
          <w:rFonts w:ascii="Arial" w:hAnsi="Arial" w:cs="Arial"/>
          <w:sz w:val="20"/>
          <w:szCs w:val="20"/>
        </w:rPr>
        <w:t xml:space="preserve">Davies EC, Green CF, Mottram DR, Rowe PH, Pirmohamed M. Emergency re-admissions to hospital due to adverse drug reactions within 1 year of the index admission. Br J Clin Pharmacol 2010 November 2010;70(5):749-755. </w:t>
      </w:r>
    </w:p>
    <w:p w:rsidR="00E53F1D" w:rsidRPr="00E53F1D" w:rsidRDefault="00E53F1D" w:rsidP="00E53F1D">
      <w:pPr>
        <w:numPr>
          <w:ilvl w:val="0"/>
          <w:numId w:val="2"/>
        </w:numPr>
        <w:spacing w:after="120" w:line="240" w:lineRule="auto"/>
        <w:ind w:left="357" w:hanging="357"/>
        <w:jc w:val="both"/>
        <w:rPr>
          <w:rFonts w:ascii="Arial" w:hAnsi="Arial" w:cs="Arial"/>
          <w:sz w:val="20"/>
          <w:szCs w:val="20"/>
        </w:rPr>
      </w:pPr>
      <w:r w:rsidRPr="00E53F1D">
        <w:rPr>
          <w:rFonts w:ascii="Arial" w:hAnsi="Arial" w:cs="Arial"/>
          <w:sz w:val="20"/>
          <w:szCs w:val="20"/>
        </w:rPr>
        <w:t xml:space="preserve">Witherington EMA, Pirzada OM, Avery AJ. Communication gaps and readmissions to hospital for patients aged 75 years and older: Observational study. Quality and Safety in Health Care 2008 February 2008;17(1):71-75.  </w:t>
      </w:r>
    </w:p>
    <w:p w:rsidR="00210E33" w:rsidRPr="00E53F1D" w:rsidRDefault="00210E33" w:rsidP="00E53F1D">
      <w:pPr>
        <w:numPr>
          <w:ilvl w:val="0"/>
          <w:numId w:val="2"/>
        </w:numPr>
        <w:spacing w:after="120" w:line="240" w:lineRule="auto"/>
        <w:ind w:left="357" w:hanging="357"/>
        <w:jc w:val="both"/>
        <w:rPr>
          <w:rFonts w:ascii="Arial" w:hAnsi="Arial" w:cs="Arial"/>
          <w:sz w:val="20"/>
          <w:szCs w:val="20"/>
        </w:rPr>
      </w:pPr>
      <w:r w:rsidRPr="00E53F1D">
        <w:rPr>
          <w:rFonts w:ascii="Arial" w:hAnsi="Arial" w:cs="Arial"/>
          <w:sz w:val="20"/>
          <w:szCs w:val="20"/>
        </w:rPr>
        <w:t xml:space="preserve">Care Quality Commision.  Managing patients’ medicines after discharge from hospital.  Care Quality Commision October 2009. </w:t>
      </w:r>
      <w:r w:rsidRPr="00E53F1D">
        <w:rPr>
          <w:rFonts w:ascii="Arial" w:hAnsi="Arial" w:cs="Arial"/>
          <w:color w:val="000000"/>
          <w:sz w:val="20"/>
          <w:szCs w:val="20"/>
        </w:rPr>
        <w:t>ISBN: 978-1-84562-244-2</w:t>
      </w:r>
    </w:p>
    <w:p w:rsidR="00210E33" w:rsidRPr="00E53F1D" w:rsidRDefault="00210E33" w:rsidP="00E53F1D">
      <w:pPr>
        <w:numPr>
          <w:ilvl w:val="0"/>
          <w:numId w:val="2"/>
        </w:numPr>
        <w:spacing w:after="120" w:line="240" w:lineRule="auto"/>
        <w:ind w:left="357" w:hanging="357"/>
        <w:jc w:val="both"/>
        <w:rPr>
          <w:rFonts w:ascii="Arial" w:hAnsi="Arial" w:cs="Arial"/>
          <w:sz w:val="20"/>
          <w:szCs w:val="20"/>
        </w:rPr>
      </w:pPr>
      <w:r w:rsidRPr="00E53F1D">
        <w:rPr>
          <w:rFonts w:ascii="Arial" w:eastAsia="Times New Roman" w:hAnsi="Arial" w:cs="Arial"/>
          <w:bCs/>
          <w:color w:val="000000"/>
          <w:sz w:val="20"/>
          <w:szCs w:val="20"/>
          <w:lang w:eastAsia="en-GB"/>
        </w:rPr>
        <w:lastRenderedPageBreak/>
        <w:t>Steering Group on Improving the Use of Medicines (for better outcomes and reduced waste).  Improving the use of medicines for better outcomes and reduced waste – An action plan.  October 2012.</w:t>
      </w:r>
    </w:p>
    <w:p w:rsidR="00E53F1D" w:rsidRPr="00E53F1D" w:rsidRDefault="00E53F1D" w:rsidP="00E53F1D">
      <w:pPr>
        <w:numPr>
          <w:ilvl w:val="0"/>
          <w:numId w:val="2"/>
        </w:numPr>
        <w:spacing w:after="120" w:line="240" w:lineRule="auto"/>
        <w:ind w:left="357" w:hanging="357"/>
        <w:jc w:val="both"/>
        <w:rPr>
          <w:rFonts w:ascii="Arial" w:hAnsi="Arial" w:cs="Arial"/>
          <w:sz w:val="20"/>
          <w:szCs w:val="20"/>
        </w:rPr>
      </w:pPr>
      <w:r w:rsidRPr="00E53F1D">
        <w:rPr>
          <w:rFonts w:ascii="Arial" w:hAnsi="Arial" w:cs="Arial"/>
          <w:sz w:val="20"/>
          <w:szCs w:val="20"/>
        </w:rPr>
        <w:t xml:space="preserve">Royal Pharmaceutical Society. </w:t>
      </w:r>
      <w:r w:rsidRPr="00E53F1D">
        <w:rPr>
          <w:rFonts w:ascii="Arial" w:hAnsi="Arial" w:cs="Arial"/>
          <w:i/>
          <w:sz w:val="20"/>
          <w:szCs w:val="20"/>
        </w:rPr>
        <w:t>Keeping patients safe when they transfer between care providers – getting the medicines right</w:t>
      </w:r>
      <w:r w:rsidRPr="00E53F1D">
        <w:rPr>
          <w:rFonts w:ascii="Arial" w:hAnsi="Arial" w:cs="Arial"/>
          <w:sz w:val="20"/>
          <w:szCs w:val="20"/>
        </w:rPr>
        <w:t>.</w:t>
      </w:r>
      <w:r w:rsidRPr="00E53F1D">
        <w:rPr>
          <w:rFonts w:ascii="Arial" w:hAnsi="Arial" w:cs="Arial"/>
          <w:i/>
          <w:sz w:val="20"/>
          <w:szCs w:val="20"/>
        </w:rPr>
        <w:t xml:space="preserve"> </w:t>
      </w:r>
      <w:r>
        <w:rPr>
          <w:rFonts w:ascii="Arial" w:hAnsi="Arial" w:cs="Arial"/>
          <w:i/>
          <w:sz w:val="20"/>
          <w:szCs w:val="20"/>
        </w:rPr>
        <w:t>Final Report</w:t>
      </w:r>
      <w:r w:rsidRPr="00E53F1D">
        <w:rPr>
          <w:rFonts w:ascii="Arial" w:hAnsi="Arial" w:cs="Arial"/>
          <w:i/>
          <w:sz w:val="20"/>
          <w:szCs w:val="20"/>
        </w:rPr>
        <w:t>.</w:t>
      </w:r>
      <w:r w:rsidRPr="00E53F1D">
        <w:rPr>
          <w:rFonts w:ascii="Arial" w:hAnsi="Arial" w:cs="Arial"/>
          <w:sz w:val="20"/>
          <w:szCs w:val="20"/>
        </w:rPr>
        <w:t xml:space="preserve">  London: RPS; June 2012</w:t>
      </w:r>
    </w:p>
    <w:p w:rsidR="00210E33" w:rsidRDefault="00210E33" w:rsidP="00E53F1D">
      <w:pPr>
        <w:numPr>
          <w:ilvl w:val="0"/>
          <w:numId w:val="2"/>
        </w:numPr>
        <w:autoSpaceDE w:val="0"/>
        <w:autoSpaceDN w:val="0"/>
        <w:adjustRightInd w:val="0"/>
        <w:spacing w:after="120" w:line="240" w:lineRule="auto"/>
        <w:ind w:left="357" w:hanging="357"/>
        <w:rPr>
          <w:rFonts w:ascii="Arial" w:eastAsia="Times New Roman" w:hAnsi="Arial" w:cs="Arial"/>
          <w:sz w:val="20"/>
          <w:szCs w:val="20"/>
          <w:lang w:eastAsia="en-GB"/>
        </w:rPr>
      </w:pPr>
      <w:r w:rsidRPr="00E53F1D">
        <w:rPr>
          <w:rFonts w:ascii="Arial" w:eastAsia="Times New Roman" w:hAnsi="Arial" w:cs="Arial"/>
          <w:sz w:val="20"/>
          <w:szCs w:val="20"/>
          <w:lang w:eastAsia="en-GB"/>
        </w:rPr>
        <w:t>Royal Pharmaceutical Society. Medicines optimisation: Helping patients to make the most of their medicines. Good practice guidance for healthcare professionals in England. May 2013</w:t>
      </w:r>
    </w:p>
    <w:p w:rsidR="00E53F1D" w:rsidRPr="00E53F1D" w:rsidRDefault="00E53F1D" w:rsidP="00E53F1D">
      <w:pPr>
        <w:numPr>
          <w:ilvl w:val="0"/>
          <w:numId w:val="2"/>
        </w:numPr>
        <w:spacing w:after="120" w:line="240" w:lineRule="auto"/>
        <w:ind w:left="357" w:hanging="357"/>
        <w:jc w:val="both"/>
        <w:rPr>
          <w:rFonts w:ascii="Arial" w:hAnsi="Arial" w:cs="Arial"/>
          <w:sz w:val="20"/>
          <w:szCs w:val="20"/>
        </w:rPr>
      </w:pPr>
      <w:r w:rsidRPr="00E53F1D">
        <w:rPr>
          <w:rFonts w:ascii="Arial" w:hAnsi="Arial" w:cs="Arial"/>
          <w:sz w:val="20"/>
          <w:szCs w:val="20"/>
        </w:rPr>
        <w:t xml:space="preserve">Monitor, NHS England. 2016/17 National Tariff Payment System.  NHS England; March 2016 Available via </w:t>
      </w:r>
      <w:hyperlink r:id="rId10" w:history="1">
        <w:r w:rsidRPr="00E53F1D">
          <w:rPr>
            <w:rStyle w:val="Hyperlink"/>
            <w:rFonts w:ascii="Arial" w:hAnsi="Arial" w:cs="Arial"/>
            <w:sz w:val="20"/>
            <w:szCs w:val="20"/>
          </w:rPr>
          <w:t>https://www.gov.uk/government/publications/nhs-national-tariff-payment-system-201617</w:t>
        </w:r>
      </w:hyperlink>
      <w:r>
        <w:rPr>
          <w:rFonts w:ascii="Arial" w:hAnsi="Arial" w:cs="Arial"/>
          <w:sz w:val="20"/>
          <w:szCs w:val="20"/>
        </w:rPr>
        <w:t xml:space="preserve"> &lt;Accessed 25/10/2017</w:t>
      </w:r>
      <w:r w:rsidRPr="00E53F1D">
        <w:rPr>
          <w:rFonts w:ascii="Arial" w:hAnsi="Arial" w:cs="Arial"/>
          <w:sz w:val="20"/>
          <w:szCs w:val="20"/>
        </w:rPr>
        <w:t>&gt;</w:t>
      </w:r>
    </w:p>
    <w:p w:rsidR="00210E33" w:rsidRPr="00E53F1D" w:rsidRDefault="00210E33" w:rsidP="00E53F1D">
      <w:pPr>
        <w:pStyle w:val="NormalWeb"/>
        <w:numPr>
          <w:ilvl w:val="0"/>
          <w:numId w:val="2"/>
        </w:numPr>
        <w:spacing w:after="120" w:afterAutospacing="0"/>
        <w:ind w:left="357" w:hanging="357"/>
        <w:rPr>
          <w:rFonts w:ascii="Arial" w:hAnsi="Arial" w:cs="Arial"/>
          <w:sz w:val="20"/>
          <w:szCs w:val="20"/>
        </w:rPr>
      </w:pPr>
      <w:r w:rsidRPr="00E53F1D">
        <w:rPr>
          <w:rFonts w:ascii="Arial" w:hAnsi="Arial" w:cs="Arial"/>
          <w:sz w:val="20"/>
          <w:szCs w:val="20"/>
        </w:rPr>
        <w:t>Coleman EA, Smith JD, Raha D, Min S-. Posthospital medication discrepancies: Prevalence and contributing factors. Arch Intern Med 2005 12 Sep 2005;165(16):1842-1847.</w:t>
      </w:r>
    </w:p>
    <w:p w:rsidR="00210E33" w:rsidRDefault="00210E33" w:rsidP="00E53F1D">
      <w:pPr>
        <w:pStyle w:val="NormalWeb"/>
        <w:numPr>
          <w:ilvl w:val="0"/>
          <w:numId w:val="2"/>
        </w:numPr>
        <w:spacing w:after="120" w:afterAutospacing="0"/>
        <w:rPr>
          <w:rFonts w:ascii="Arial" w:hAnsi="Arial" w:cs="Arial"/>
          <w:sz w:val="20"/>
          <w:szCs w:val="20"/>
        </w:rPr>
      </w:pPr>
      <w:r w:rsidRPr="00E53F1D">
        <w:rPr>
          <w:rFonts w:ascii="Arial" w:hAnsi="Arial" w:cs="Arial"/>
          <w:sz w:val="20"/>
          <w:szCs w:val="20"/>
        </w:rPr>
        <w:t>Ensing H.T., Koster E.S., van Berkel P.I., van Dooren A.A., Bouvy ML. Problems with continuity of care identified by community pharmacists post-discharge. J Clin Pharm Ther 2016.</w:t>
      </w:r>
    </w:p>
    <w:p w:rsidR="00E53F1D" w:rsidRDefault="00E53F1D" w:rsidP="00E53F1D">
      <w:pPr>
        <w:pStyle w:val="NormalWeb"/>
        <w:numPr>
          <w:ilvl w:val="0"/>
          <w:numId w:val="2"/>
        </w:numPr>
        <w:spacing w:after="120" w:afterAutospacing="0"/>
        <w:rPr>
          <w:rFonts w:ascii="Arial" w:hAnsi="Arial" w:cs="Arial"/>
          <w:color w:val="000000" w:themeColor="text1"/>
          <w:sz w:val="20"/>
          <w:szCs w:val="20"/>
        </w:rPr>
      </w:pPr>
      <w:r w:rsidRPr="00E53F1D">
        <w:rPr>
          <w:rFonts w:ascii="Arial" w:hAnsi="Arial" w:cs="Arial"/>
          <w:color w:val="000000" w:themeColor="text1"/>
          <w:sz w:val="20"/>
          <w:szCs w:val="20"/>
        </w:rPr>
        <w:t>Bower SK, Smith H.  ROMEPAD (Review Of Medicines for Elderly Patients After Discharge): A pilot study in domiciliary and care home settings.  Journal of Medicines Optimisation 2016;2(4)</w:t>
      </w:r>
    </w:p>
    <w:p w:rsidR="00E53F1D" w:rsidRPr="00E53F1D" w:rsidRDefault="00E53F1D" w:rsidP="00E53F1D">
      <w:pPr>
        <w:pStyle w:val="NormalWeb"/>
        <w:numPr>
          <w:ilvl w:val="0"/>
          <w:numId w:val="2"/>
        </w:numPr>
        <w:spacing w:after="120" w:afterAutospacing="0"/>
        <w:rPr>
          <w:rFonts w:ascii="Arial" w:hAnsi="Arial" w:cs="Arial"/>
          <w:color w:val="000000" w:themeColor="text1"/>
          <w:sz w:val="20"/>
          <w:szCs w:val="20"/>
        </w:rPr>
      </w:pPr>
      <w:r w:rsidRPr="00031CC4">
        <w:rPr>
          <w:rFonts w:ascii="Arial" w:hAnsi="Arial" w:cs="Arial"/>
          <w:sz w:val="20"/>
          <w:szCs w:val="20"/>
        </w:rPr>
        <w:t>Grisham T. The Delphi technique: a method for testing complex and multifaceted topics. International Journal of Managing Projects in Business. 2009;2(1):112-130</w:t>
      </w:r>
    </w:p>
    <w:p w:rsidR="00E53F1D" w:rsidRPr="00E53F1D" w:rsidRDefault="00E53F1D" w:rsidP="00E53F1D">
      <w:pPr>
        <w:pStyle w:val="ListParagraph"/>
        <w:numPr>
          <w:ilvl w:val="0"/>
          <w:numId w:val="2"/>
        </w:numPr>
        <w:autoSpaceDE w:val="0"/>
        <w:autoSpaceDN w:val="0"/>
        <w:adjustRightInd w:val="0"/>
        <w:spacing w:after="120"/>
        <w:ind w:left="357" w:hanging="357"/>
        <w:contextualSpacing w:val="0"/>
        <w:rPr>
          <w:rFonts w:ascii="Arial" w:hAnsi="Arial" w:cs="Arial"/>
          <w:sz w:val="20"/>
        </w:rPr>
      </w:pPr>
      <w:r w:rsidRPr="000349B8">
        <w:rPr>
          <w:rFonts w:ascii="Arial" w:hAnsi="Arial" w:cs="Arial"/>
          <w:sz w:val="20"/>
        </w:rPr>
        <w:t xml:space="preserve">Jones J, Hunter D. Consensus methods for medical and health services research. </w:t>
      </w:r>
      <w:r w:rsidRPr="000349B8">
        <w:rPr>
          <w:rFonts w:ascii="Arial" w:hAnsi="Arial" w:cs="Arial"/>
          <w:i/>
          <w:sz w:val="20"/>
        </w:rPr>
        <w:t>BMJ</w:t>
      </w:r>
      <w:r w:rsidRPr="000349B8">
        <w:rPr>
          <w:rFonts w:ascii="Arial" w:hAnsi="Arial" w:cs="Arial"/>
          <w:sz w:val="20"/>
        </w:rPr>
        <w:t>. 1995;311(7001):376-80.</w:t>
      </w:r>
    </w:p>
    <w:p w:rsidR="00E53F1D" w:rsidRPr="000349B8" w:rsidRDefault="00E53F1D" w:rsidP="00E53F1D">
      <w:pPr>
        <w:pStyle w:val="ListParagraph"/>
        <w:numPr>
          <w:ilvl w:val="0"/>
          <w:numId w:val="2"/>
        </w:numPr>
        <w:autoSpaceDE w:val="0"/>
        <w:autoSpaceDN w:val="0"/>
        <w:adjustRightInd w:val="0"/>
        <w:spacing w:after="120"/>
        <w:ind w:left="357" w:hanging="357"/>
        <w:contextualSpacing w:val="0"/>
        <w:rPr>
          <w:rFonts w:ascii="Arial" w:hAnsi="Arial" w:cs="Arial"/>
          <w:sz w:val="20"/>
        </w:rPr>
      </w:pPr>
      <w:r w:rsidRPr="000349B8">
        <w:rPr>
          <w:rFonts w:ascii="Arial" w:hAnsi="Arial" w:cs="Arial"/>
          <w:sz w:val="20"/>
        </w:rPr>
        <w:t xml:space="preserve">Diamond I.R., Grant R.C., Feldman B.M., Pencharz P.B., Ling S.C., Moore A.M., et al. Defining consensus: A systematic review recommends methodologic criteria for reporting of Delphi studies. </w:t>
      </w:r>
      <w:r w:rsidRPr="000349B8">
        <w:rPr>
          <w:rFonts w:ascii="Arial" w:hAnsi="Arial" w:cs="Arial"/>
          <w:i/>
          <w:sz w:val="20"/>
        </w:rPr>
        <w:t>J Clin Epidemiol</w:t>
      </w:r>
      <w:r w:rsidRPr="000349B8">
        <w:rPr>
          <w:rFonts w:ascii="Arial" w:hAnsi="Arial" w:cs="Arial"/>
          <w:sz w:val="20"/>
        </w:rPr>
        <w:t xml:space="preserve"> 2014;67(4):401-409.</w:t>
      </w:r>
    </w:p>
    <w:p w:rsidR="00E53F1D" w:rsidRPr="000349B8" w:rsidRDefault="00E53F1D" w:rsidP="00E53F1D">
      <w:pPr>
        <w:pStyle w:val="ListParagraph"/>
        <w:numPr>
          <w:ilvl w:val="0"/>
          <w:numId w:val="2"/>
        </w:numPr>
        <w:autoSpaceDE w:val="0"/>
        <w:autoSpaceDN w:val="0"/>
        <w:adjustRightInd w:val="0"/>
        <w:spacing w:after="120"/>
        <w:ind w:left="357" w:hanging="357"/>
        <w:contextualSpacing w:val="0"/>
        <w:rPr>
          <w:rFonts w:ascii="Arial" w:hAnsi="Arial" w:cs="Arial"/>
          <w:sz w:val="20"/>
        </w:rPr>
      </w:pPr>
      <w:r w:rsidRPr="000349B8">
        <w:rPr>
          <w:rFonts w:ascii="Arial" w:hAnsi="Arial" w:cs="Arial"/>
          <w:color w:val="000000"/>
          <w:sz w:val="20"/>
        </w:rPr>
        <w:t xml:space="preserve">Linstone HA, Turoff M, eds. </w:t>
      </w:r>
      <w:r w:rsidRPr="000349B8">
        <w:rPr>
          <w:rFonts w:ascii="Arial" w:hAnsi="Arial" w:cs="Arial"/>
          <w:i/>
          <w:iCs/>
          <w:color w:val="000000"/>
          <w:sz w:val="20"/>
        </w:rPr>
        <w:t>The Delphi method. Techniques and applications</w:t>
      </w:r>
      <w:r w:rsidRPr="000349B8">
        <w:rPr>
          <w:rFonts w:ascii="Arial" w:hAnsi="Arial" w:cs="Arial"/>
          <w:iCs/>
          <w:color w:val="000000"/>
          <w:sz w:val="20"/>
        </w:rPr>
        <w:t xml:space="preserve">. </w:t>
      </w:r>
      <w:r w:rsidRPr="000349B8">
        <w:rPr>
          <w:rFonts w:ascii="Arial" w:hAnsi="Arial" w:cs="Arial"/>
          <w:color w:val="000000"/>
          <w:sz w:val="20"/>
        </w:rPr>
        <w:t>Reading, MA: Addison- Wesley; 1975.</w:t>
      </w:r>
    </w:p>
    <w:p w:rsidR="00E53F1D" w:rsidRPr="000349B8" w:rsidRDefault="00E53F1D" w:rsidP="00E53F1D">
      <w:pPr>
        <w:pStyle w:val="Default"/>
        <w:numPr>
          <w:ilvl w:val="0"/>
          <w:numId w:val="2"/>
        </w:numPr>
        <w:spacing w:after="120"/>
        <w:ind w:left="357" w:hanging="357"/>
        <w:rPr>
          <w:sz w:val="20"/>
          <w:szCs w:val="22"/>
        </w:rPr>
      </w:pPr>
      <w:r w:rsidRPr="000349B8">
        <w:rPr>
          <w:sz w:val="20"/>
          <w:szCs w:val="22"/>
        </w:rPr>
        <w:t xml:space="preserve">Eadon H.  Assessing the quality of ward pharmacists’ interventions. </w:t>
      </w:r>
      <w:r w:rsidRPr="000349B8">
        <w:rPr>
          <w:i/>
          <w:sz w:val="20"/>
          <w:szCs w:val="22"/>
        </w:rPr>
        <w:t>Int J Pharm Pract</w:t>
      </w:r>
      <w:r w:rsidRPr="000349B8">
        <w:rPr>
          <w:sz w:val="20"/>
          <w:szCs w:val="22"/>
        </w:rPr>
        <w:t xml:space="preserve"> 1992;1:145-7</w:t>
      </w:r>
    </w:p>
    <w:p w:rsidR="00E53F1D" w:rsidRPr="00E53F1D" w:rsidRDefault="00E53F1D" w:rsidP="00E53F1D">
      <w:pPr>
        <w:pStyle w:val="Default"/>
        <w:numPr>
          <w:ilvl w:val="0"/>
          <w:numId w:val="2"/>
        </w:numPr>
        <w:spacing w:after="120"/>
        <w:ind w:left="357" w:hanging="357"/>
        <w:rPr>
          <w:sz w:val="20"/>
          <w:szCs w:val="22"/>
        </w:rPr>
      </w:pPr>
      <w:r w:rsidRPr="000349B8">
        <w:rPr>
          <w:sz w:val="20"/>
          <w:szCs w:val="22"/>
        </w:rPr>
        <w:t xml:space="preserve">Karnon J, McIntosh A, Dean J, Bath P, Hutchinson J, Oakley P et al. Modelling the expected net benefits of interventions to reduce the burden of medication errors.  </w:t>
      </w:r>
      <w:r w:rsidRPr="000349B8">
        <w:rPr>
          <w:i/>
          <w:sz w:val="20"/>
          <w:szCs w:val="22"/>
        </w:rPr>
        <w:t>J Health Serv Res and Pol</w:t>
      </w:r>
      <w:r w:rsidRPr="000349B8">
        <w:rPr>
          <w:sz w:val="20"/>
          <w:szCs w:val="22"/>
        </w:rPr>
        <w:t xml:space="preserve"> 2008; 13(2): 85–91.</w:t>
      </w:r>
    </w:p>
    <w:p w:rsidR="00210E33" w:rsidRPr="00E53F1D" w:rsidRDefault="00210E33" w:rsidP="00E53F1D">
      <w:pPr>
        <w:numPr>
          <w:ilvl w:val="0"/>
          <w:numId w:val="2"/>
        </w:numPr>
        <w:spacing w:after="120" w:line="240" w:lineRule="auto"/>
        <w:jc w:val="both"/>
        <w:rPr>
          <w:rFonts w:ascii="Arial" w:hAnsi="Arial" w:cs="Arial"/>
          <w:color w:val="0000FF" w:themeColor="hyperlink"/>
          <w:sz w:val="20"/>
          <w:szCs w:val="20"/>
          <w:u w:val="single"/>
        </w:rPr>
      </w:pPr>
      <w:r w:rsidRPr="00E53F1D">
        <w:rPr>
          <w:rFonts w:ascii="Arial" w:hAnsi="Arial" w:cs="Arial"/>
          <w:sz w:val="20"/>
          <w:szCs w:val="20"/>
        </w:rPr>
        <w:t xml:space="preserve">NHS Employers.  Medicines Use Reviews (MURs).  Available at: </w:t>
      </w:r>
      <w:hyperlink r:id="rId11" w:history="1">
        <w:r w:rsidRPr="00E53F1D">
          <w:rPr>
            <w:rStyle w:val="Hyperlink"/>
            <w:rFonts w:ascii="Arial" w:hAnsi="Arial" w:cs="Arial"/>
            <w:sz w:val="20"/>
            <w:szCs w:val="20"/>
          </w:rPr>
          <w:t>http://www.nhsemployers.org/MURs</w:t>
        </w:r>
      </w:hyperlink>
      <w:r w:rsidRPr="00E53F1D">
        <w:rPr>
          <w:rStyle w:val="Hyperlink"/>
          <w:rFonts w:ascii="Arial" w:hAnsi="Arial" w:cs="Arial"/>
          <w:sz w:val="20"/>
          <w:szCs w:val="20"/>
        </w:rPr>
        <w:t xml:space="preserve"> </w:t>
      </w:r>
      <w:r w:rsidRPr="00E53F1D">
        <w:rPr>
          <w:rFonts w:ascii="Arial" w:hAnsi="Arial" w:cs="Arial"/>
          <w:sz w:val="20"/>
          <w:szCs w:val="20"/>
        </w:rPr>
        <w:t>&lt;Accessed 31/3/17&gt;</w:t>
      </w:r>
    </w:p>
    <w:p w:rsidR="00E53F1D" w:rsidRPr="00945D07" w:rsidRDefault="00E53F1D" w:rsidP="00E53F1D">
      <w:pPr>
        <w:numPr>
          <w:ilvl w:val="0"/>
          <w:numId w:val="2"/>
        </w:numPr>
        <w:spacing w:after="120" w:line="240" w:lineRule="auto"/>
        <w:jc w:val="both"/>
        <w:rPr>
          <w:rFonts w:ascii="Arial" w:hAnsi="Arial" w:cs="Arial"/>
          <w:sz w:val="20"/>
          <w:szCs w:val="20"/>
        </w:rPr>
      </w:pPr>
      <w:r w:rsidRPr="00945D07">
        <w:rPr>
          <w:rFonts w:ascii="Arial" w:hAnsi="Arial" w:cs="Arial"/>
          <w:color w:val="000000"/>
          <w:sz w:val="20"/>
          <w:szCs w:val="20"/>
        </w:rPr>
        <w:t>Bhatti N, Devlin L, Farooq H, Kazi I, Mulla I, SImango C et al.  Community pharmacists’ experiences of managing patients’ medicines after discharge from hospital: a preliminary study of discharge medicines use reviews (DMURs).  IJPP 2013;21(S2):86-7</w:t>
      </w:r>
    </w:p>
    <w:p w:rsidR="00E53F1D" w:rsidRPr="00E53F1D" w:rsidRDefault="00E53F1D" w:rsidP="00E53F1D">
      <w:pPr>
        <w:pStyle w:val="NormalWeb"/>
        <w:numPr>
          <w:ilvl w:val="0"/>
          <w:numId w:val="2"/>
        </w:numPr>
        <w:spacing w:after="120" w:afterAutospacing="0"/>
        <w:ind w:left="357" w:hanging="357"/>
        <w:rPr>
          <w:rFonts w:ascii="Arial" w:hAnsi="Arial" w:cs="Arial"/>
          <w:sz w:val="20"/>
          <w:szCs w:val="20"/>
        </w:rPr>
      </w:pPr>
      <w:r w:rsidRPr="00E53F1D">
        <w:rPr>
          <w:rFonts w:ascii="Arial" w:hAnsi="Arial" w:cs="Arial"/>
          <w:sz w:val="20"/>
          <w:szCs w:val="20"/>
        </w:rPr>
        <w:t>Clinical Indicators Team, Health and Social Care Information Centre.  Hospital Episode Statistics, Emergency Readmissions to Hospital Within 28 Days of Discharge. Financial Year 2011-12. December 2013.  Health and Social Care Information Centre.</w:t>
      </w:r>
    </w:p>
    <w:p w:rsidR="00E53F1D" w:rsidRDefault="00E53F1D" w:rsidP="00E53F1D">
      <w:pPr>
        <w:pStyle w:val="NormalWeb"/>
        <w:numPr>
          <w:ilvl w:val="0"/>
          <w:numId w:val="2"/>
        </w:numPr>
        <w:spacing w:after="120" w:afterAutospacing="0"/>
        <w:ind w:left="357" w:hanging="357"/>
        <w:rPr>
          <w:rFonts w:ascii="Arial" w:hAnsi="Arial" w:cs="Arial"/>
          <w:sz w:val="20"/>
          <w:szCs w:val="20"/>
        </w:rPr>
      </w:pPr>
      <w:r w:rsidRPr="00E53F1D">
        <w:rPr>
          <w:rFonts w:ascii="Arial" w:hAnsi="Arial" w:cs="Arial"/>
          <w:sz w:val="20"/>
          <w:szCs w:val="20"/>
        </w:rPr>
        <w:t xml:space="preserve">Health and Social Care Information Centre Indicator Portal.  Available via: </w:t>
      </w:r>
      <w:hyperlink r:id="rId12" w:history="1">
        <w:r w:rsidRPr="00E53F1D">
          <w:rPr>
            <w:rStyle w:val="Hyperlink"/>
            <w:rFonts w:ascii="Arial" w:hAnsi="Arial" w:cs="Arial"/>
            <w:sz w:val="20"/>
            <w:szCs w:val="20"/>
          </w:rPr>
          <w:t>https://indicators.hscic.gov.uk/webview/</w:t>
        </w:r>
      </w:hyperlink>
      <w:r>
        <w:rPr>
          <w:rFonts w:ascii="Arial" w:hAnsi="Arial" w:cs="Arial"/>
          <w:sz w:val="20"/>
          <w:szCs w:val="20"/>
        </w:rPr>
        <w:t xml:space="preserve"> &lt;Accessed 25/10/17</w:t>
      </w:r>
      <w:r w:rsidRPr="00E53F1D">
        <w:rPr>
          <w:rFonts w:ascii="Arial" w:hAnsi="Arial" w:cs="Arial"/>
          <w:sz w:val="20"/>
          <w:szCs w:val="20"/>
        </w:rPr>
        <w:t>&gt;</w:t>
      </w:r>
    </w:p>
    <w:p w:rsidR="00E53F1D" w:rsidRPr="00945D07" w:rsidRDefault="00E53F1D" w:rsidP="00E53F1D">
      <w:pPr>
        <w:pStyle w:val="NormalWeb"/>
        <w:numPr>
          <w:ilvl w:val="0"/>
          <w:numId w:val="2"/>
        </w:numPr>
        <w:spacing w:before="0" w:beforeAutospacing="0" w:after="120" w:afterAutospacing="0"/>
        <w:rPr>
          <w:rFonts w:ascii="Arial" w:hAnsi="Arial" w:cs="Arial"/>
          <w:sz w:val="20"/>
          <w:szCs w:val="20"/>
        </w:rPr>
      </w:pPr>
      <w:r w:rsidRPr="00945D07">
        <w:rPr>
          <w:rFonts w:ascii="Arial" w:hAnsi="Arial" w:cs="Arial"/>
          <w:sz w:val="20"/>
          <w:szCs w:val="20"/>
        </w:rPr>
        <w:t xml:space="preserve">Acomb C., Laverty U., Smith H., Fox G., Petty D. Medicines optimisation on discharge. The integrated medicines optimisation on care transfer (IMPACT) project. International Journal of Pharmacy Practice 2013 September 2013;21:123-124. </w:t>
      </w:r>
    </w:p>
    <w:p w:rsidR="00E53F1D" w:rsidRPr="002311BA" w:rsidRDefault="00E53F1D" w:rsidP="00E53F1D">
      <w:pPr>
        <w:numPr>
          <w:ilvl w:val="0"/>
          <w:numId w:val="2"/>
        </w:numPr>
        <w:spacing w:after="120" w:line="240" w:lineRule="auto"/>
        <w:jc w:val="both"/>
        <w:rPr>
          <w:rFonts w:ascii="Arial" w:hAnsi="Arial" w:cs="Arial"/>
          <w:sz w:val="20"/>
          <w:szCs w:val="20"/>
        </w:rPr>
      </w:pPr>
      <w:r w:rsidRPr="002311BA">
        <w:rPr>
          <w:rFonts w:ascii="Arial" w:hAnsi="Arial" w:cs="Arial"/>
          <w:sz w:val="20"/>
          <w:szCs w:val="20"/>
        </w:rPr>
        <w:t>Nazareth I, Burton A, Shulman S, Smith P, Haines A, Timberall H. A pharmacy discharge plan for hospitalized elderly patients - A randomized controlled trial. Age Ageing 2001 2001;30(1):33-40.</w:t>
      </w:r>
    </w:p>
    <w:p w:rsidR="00E53F1D" w:rsidRPr="00E53F1D" w:rsidRDefault="00E53F1D" w:rsidP="00E53F1D">
      <w:pPr>
        <w:numPr>
          <w:ilvl w:val="0"/>
          <w:numId w:val="2"/>
        </w:numPr>
        <w:spacing w:after="120" w:line="240" w:lineRule="auto"/>
        <w:rPr>
          <w:rStyle w:val="Hyperlink"/>
          <w:rFonts w:ascii="Arial" w:hAnsi="Arial" w:cs="Arial"/>
          <w:color w:val="auto"/>
          <w:sz w:val="20"/>
          <w:szCs w:val="20"/>
          <w:u w:val="none"/>
        </w:rPr>
      </w:pPr>
      <w:r w:rsidRPr="002311BA">
        <w:rPr>
          <w:rFonts w:ascii="Arial" w:hAnsi="Arial" w:cs="Arial"/>
          <w:sz w:val="20"/>
          <w:szCs w:val="20"/>
        </w:rPr>
        <w:t xml:space="preserve">Holland R, Lenaghan E, Harvey I, Smith R, Shepstone L, Lipp A, et al. Does home based medication review keep older people out of hospital? The HOMER randomised controlled trial. BMJ 2005;330(7486):293. </w:t>
      </w:r>
    </w:p>
    <w:sectPr w:rsidR="00E53F1D" w:rsidRPr="00E53F1D" w:rsidSect="00D322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3E"/>
    <w:multiLevelType w:val="hybridMultilevel"/>
    <w:tmpl w:val="F2762C6C"/>
    <w:lvl w:ilvl="0" w:tplc="46D0176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73064AE"/>
    <w:multiLevelType w:val="hybridMultilevel"/>
    <w:tmpl w:val="5E32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6B7A29"/>
    <w:multiLevelType w:val="hybridMultilevel"/>
    <w:tmpl w:val="F2762C6C"/>
    <w:lvl w:ilvl="0" w:tplc="46D0176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C3F7A2B"/>
    <w:multiLevelType w:val="hybridMultilevel"/>
    <w:tmpl w:val="3FCA81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EFD2C8C"/>
    <w:multiLevelType w:val="hybridMultilevel"/>
    <w:tmpl w:val="84C85C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826B55"/>
    <w:multiLevelType w:val="hybridMultilevel"/>
    <w:tmpl w:val="C6D2D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B21AEC"/>
    <w:multiLevelType w:val="hybridMultilevel"/>
    <w:tmpl w:val="E7C8A7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B537F2"/>
    <w:multiLevelType w:val="hybridMultilevel"/>
    <w:tmpl w:val="DD405AEC"/>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D3657B"/>
    <w:multiLevelType w:val="hybridMultilevel"/>
    <w:tmpl w:val="4CF85F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683A72"/>
    <w:multiLevelType w:val="hybridMultilevel"/>
    <w:tmpl w:val="AAE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31B2B"/>
    <w:multiLevelType w:val="hybridMultilevel"/>
    <w:tmpl w:val="944E0D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41C049C"/>
    <w:multiLevelType w:val="hybridMultilevel"/>
    <w:tmpl w:val="FCFE2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80C1AC9"/>
    <w:multiLevelType w:val="hybridMultilevel"/>
    <w:tmpl w:val="8A60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9C1F2F"/>
    <w:multiLevelType w:val="hybridMultilevel"/>
    <w:tmpl w:val="4D983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9A552D8"/>
    <w:multiLevelType w:val="hybridMultilevel"/>
    <w:tmpl w:val="FD5C7B4E"/>
    <w:lvl w:ilvl="0" w:tplc="08090001">
      <w:start w:val="1"/>
      <w:numFmt w:val="bullet"/>
      <w:lvlText w:val=""/>
      <w:lvlJc w:val="left"/>
      <w:pPr>
        <w:ind w:left="360" w:hanging="360"/>
      </w:pPr>
      <w:rPr>
        <w:rFonts w:ascii="Symbol" w:hAnsi="Symbol" w:hint="default"/>
      </w:rPr>
    </w:lvl>
    <w:lvl w:ilvl="1" w:tplc="1CA402A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FC0952"/>
    <w:multiLevelType w:val="hybridMultilevel"/>
    <w:tmpl w:val="93CEF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CF4516"/>
    <w:multiLevelType w:val="hybridMultilevel"/>
    <w:tmpl w:val="230CC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A4761AF"/>
    <w:multiLevelType w:val="hybridMultilevel"/>
    <w:tmpl w:val="6B1A3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F96D93"/>
    <w:multiLevelType w:val="hybridMultilevel"/>
    <w:tmpl w:val="D3EA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C50C12"/>
    <w:multiLevelType w:val="hybridMultilevel"/>
    <w:tmpl w:val="88D4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EE19C2"/>
    <w:multiLevelType w:val="hybridMultilevel"/>
    <w:tmpl w:val="59BE681C"/>
    <w:lvl w:ilvl="0" w:tplc="0809000F">
      <w:start w:val="1"/>
      <w:numFmt w:val="decimal"/>
      <w:lvlText w:val="%1."/>
      <w:lvlJc w:val="left"/>
      <w:pPr>
        <w:tabs>
          <w:tab w:val="num" w:pos="360"/>
        </w:tabs>
        <w:ind w:left="360" w:hanging="360"/>
      </w:pPr>
    </w:lvl>
    <w:lvl w:ilvl="1" w:tplc="A31E2B2E">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8"/>
  </w:num>
  <w:num w:numId="3">
    <w:abstractNumId w:val="13"/>
  </w:num>
  <w:num w:numId="4">
    <w:abstractNumId w:val="12"/>
  </w:num>
  <w:num w:numId="5">
    <w:abstractNumId w:val="5"/>
  </w:num>
  <w:num w:numId="6">
    <w:abstractNumId w:val="20"/>
  </w:num>
  <w:num w:numId="7">
    <w:abstractNumId w:val="3"/>
  </w:num>
  <w:num w:numId="8">
    <w:abstractNumId w:val="15"/>
  </w:num>
  <w:num w:numId="9">
    <w:abstractNumId w:val="14"/>
  </w:num>
  <w:num w:numId="10">
    <w:abstractNumId w:val="19"/>
  </w:num>
  <w:num w:numId="11">
    <w:abstractNumId w:val="9"/>
  </w:num>
  <w:num w:numId="12">
    <w:abstractNumId w:val="18"/>
  </w:num>
  <w:num w:numId="13">
    <w:abstractNumId w:val="4"/>
  </w:num>
  <w:num w:numId="14">
    <w:abstractNumId w:val="17"/>
  </w:num>
  <w:num w:numId="15">
    <w:abstractNumId w:val="7"/>
  </w:num>
  <w:num w:numId="16">
    <w:abstractNumId w:val="11"/>
  </w:num>
  <w:num w:numId="17">
    <w:abstractNumId w:val="6"/>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AB"/>
    <w:rsid w:val="0002397F"/>
    <w:rsid w:val="00031CC4"/>
    <w:rsid w:val="000676F3"/>
    <w:rsid w:val="00087D56"/>
    <w:rsid w:val="000C1159"/>
    <w:rsid w:val="000E7637"/>
    <w:rsid w:val="001029B2"/>
    <w:rsid w:val="00126E72"/>
    <w:rsid w:val="001351F9"/>
    <w:rsid w:val="00157F83"/>
    <w:rsid w:val="001A2FC3"/>
    <w:rsid w:val="001B05FE"/>
    <w:rsid w:val="00210E33"/>
    <w:rsid w:val="00213DC0"/>
    <w:rsid w:val="002711C7"/>
    <w:rsid w:val="002A6046"/>
    <w:rsid w:val="002F0594"/>
    <w:rsid w:val="00306B02"/>
    <w:rsid w:val="00326D7B"/>
    <w:rsid w:val="0035521C"/>
    <w:rsid w:val="0036473F"/>
    <w:rsid w:val="003C1F96"/>
    <w:rsid w:val="003C4349"/>
    <w:rsid w:val="004173F3"/>
    <w:rsid w:val="004175E1"/>
    <w:rsid w:val="00423F4E"/>
    <w:rsid w:val="004325EB"/>
    <w:rsid w:val="00483552"/>
    <w:rsid w:val="0049722B"/>
    <w:rsid w:val="004B4C92"/>
    <w:rsid w:val="004C5479"/>
    <w:rsid w:val="00544415"/>
    <w:rsid w:val="00564394"/>
    <w:rsid w:val="005755B8"/>
    <w:rsid w:val="005B21B3"/>
    <w:rsid w:val="005E7214"/>
    <w:rsid w:val="00610B9D"/>
    <w:rsid w:val="00630174"/>
    <w:rsid w:val="006C25C2"/>
    <w:rsid w:val="006C564D"/>
    <w:rsid w:val="006D4857"/>
    <w:rsid w:val="00703DAC"/>
    <w:rsid w:val="007329C3"/>
    <w:rsid w:val="007333B3"/>
    <w:rsid w:val="007D5CAB"/>
    <w:rsid w:val="007E2173"/>
    <w:rsid w:val="007F1DAE"/>
    <w:rsid w:val="00873C26"/>
    <w:rsid w:val="008B6009"/>
    <w:rsid w:val="00910857"/>
    <w:rsid w:val="009C4253"/>
    <w:rsid w:val="009F4829"/>
    <w:rsid w:val="00A50BF5"/>
    <w:rsid w:val="00A51DA7"/>
    <w:rsid w:val="00A52B78"/>
    <w:rsid w:val="00A65E34"/>
    <w:rsid w:val="00AF0272"/>
    <w:rsid w:val="00B139DA"/>
    <w:rsid w:val="00B21ABA"/>
    <w:rsid w:val="00B2325C"/>
    <w:rsid w:val="00B601CB"/>
    <w:rsid w:val="00BA52C2"/>
    <w:rsid w:val="00BB3C29"/>
    <w:rsid w:val="00BE2C3D"/>
    <w:rsid w:val="00BE3CFE"/>
    <w:rsid w:val="00C07A94"/>
    <w:rsid w:val="00C20F3A"/>
    <w:rsid w:val="00CA030F"/>
    <w:rsid w:val="00CE5FE6"/>
    <w:rsid w:val="00D21F06"/>
    <w:rsid w:val="00D32295"/>
    <w:rsid w:val="00D61856"/>
    <w:rsid w:val="00D6358A"/>
    <w:rsid w:val="00D91B05"/>
    <w:rsid w:val="00D929BA"/>
    <w:rsid w:val="00D9567B"/>
    <w:rsid w:val="00DC26BB"/>
    <w:rsid w:val="00DF1D79"/>
    <w:rsid w:val="00E238CD"/>
    <w:rsid w:val="00E33442"/>
    <w:rsid w:val="00E53F1D"/>
    <w:rsid w:val="00F54C42"/>
    <w:rsid w:val="00F67810"/>
    <w:rsid w:val="00F83F8E"/>
    <w:rsid w:val="00FC04C9"/>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CAB"/>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FF74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E33"/>
    <w:rPr>
      <w:color w:val="0000FF" w:themeColor="hyperlink"/>
      <w:u w:val="single"/>
    </w:rPr>
  </w:style>
  <w:style w:type="paragraph" w:styleId="NormalWeb">
    <w:name w:val="Normal (Web)"/>
    <w:basedOn w:val="Normal"/>
    <w:uiPriority w:val="99"/>
    <w:rsid w:val="00210E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74"/>
    <w:rPr>
      <w:rFonts w:ascii="Tahoma" w:hAnsi="Tahoma" w:cs="Tahoma"/>
      <w:sz w:val="16"/>
      <w:szCs w:val="16"/>
    </w:rPr>
  </w:style>
  <w:style w:type="table" w:styleId="TableGrid">
    <w:name w:val="Table Grid"/>
    <w:basedOn w:val="TableNormal"/>
    <w:uiPriority w:val="39"/>
    <w:rsid w:val="0003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D56"/>
    <w:rPr>
      <w:sz w:val="16"/>
      <w:szCs w:val="16"/>
    </w:rPr>
  </w:style>
  <w:style w:type="paragraph" w:styleId="CommentText">
    <w:name w:val="annotation text"/>
    <w:basedOn w:val="Normal"/>
    <w:link w:val="CommentTextChar"/>
    <w:uiPriority w:val="99"/>
    <w:semiHidden/>
    <w:unhideWhenUsed/>
    <w:rsid w:val="00087D56"/>
    <w:pPr>
      <w:spacing w:line="240" w:lineRule="auto"/>
    </w:pPr>
    <w:rPr>
      <w:sz w:val="20"/>
      <w:szCs w:val="20"/>
    </w:rPr>
  </w:style>
  <w:style w:type="character" w:customStyle="1" w:styleId="CommentTextChar">
    <w:name w:val="Comment Text Char"/>
    <w:basedOn w:val="DefaultParagraphFont"/>
    <w:link w:val="CommentText"/>
    <w:uiPriority w:val="99"/>
    <w:semiHidden/>
    <w:rsid w:val="00087D56"/>
    <w:rPr>
      <w:sz w:val="20"/>
      <w:szCs w:val="20"/>
    </w:rPr>
  </w:style>
  <w:style w:type="paragraph" w:styleId="CommentSubject">
    <w:name w:val="annotation subject"/>
    <w:basedOn w:val="CommentText"/>
    <w:next w:val="CommentText"/>
    <w:link w:val="CommentSubjectChar"/>
    <w:uiPriority w:val="99"/>
    <w:semiHidden/>
    <w:unhideWhenUsed/>
    <w:rsid w:val="00087D56"/>
    <w:rPr>
      <w:b/>
      <w:bCs/>
    </w:rPr>
  </w:style>
  <w:style w:type="character" w:customStyle="1" w:styleId="CommentSubjectChar">
    <w:name w:val="Comment Subject Char"/>
    <w:basedOn w:val="CommentTextChar"/>
    <w:link w:val="CommentSubject"/>
    <w:uiPriority w:val="99"/>
    <w:semiHidden/>
    <w:rsid w:val="00087D56"/>
    <w:rPr>
      <w:b/>
      <w:bCs/>
      <w:sz w:val="20"/>
      <w:szCs w:val="20"/>
    </w:rPr>
  </w:style>
  <w:style w:type="character" w:styleId="Strong">
    <w:name w:val="Strong"/>
    <w:basedOn w:val="DefaultParagraphFont"/>
    <w:uiPriority w:val="22"/>
    <w:qFormat/>
    <w:rsid w:val="00F67810"/>
    <w:rPr>
      <w:b/>
      <w:bCs/>
    </w:rPr>
  </w:style>
  <w:style w:type="character" w:styleId="HTMLCite">
    <w:name w:val="HTML Cite"/>
    <w:basedOn w:val="DefaultParagraphFont"/>
    <w:uiPriority w:val="99"/>
    <w:semiHidden/>
    <w:unhideWhenUsed/>
    <w:rsid w:val="00F67810"/>
    <w:rPr>
      <w:i/>
      <w:iCs/>
    </w:rPr>
  </w:style>
  <w:style w:type="character" w:customStyle="1" w:styleId="cit-vol2">
    <w:name w:val="cit-vol2"/>
    <w:basedOn w:val="DefaultParagraphFont"/>
    <w:rsid w:val="00F67810"/>
  </w:style>
  <w:style w:type="character" w:customStyle="1" w:styleId="cit-fpage">
    <w:name w:val="cit-fpage"/>
    <w:basedOn w:val="DefaultParagraphFont"/>
    <w:rsid w:val="00F67810"/>
  </w:style>
  <w:style w:type="character" w:customStyle="1" w:styleId="cit-lpage">
    <w:name w:val="cit-lpage"/>
    <w:basedOn w:val="DefaultParagraphFont"/>
    <w:rsid w:val="00F67810"/>
  </w:style>
  <w:style w:type="character" w:styleId="FollowedHyperlink">
    <w:name w:val="FollowedHyperlink"/>
    <w:basedOn w:val="DefaultParagraphFont"/>
    <w:uiPriority w:val="99"/>
    <w:semiHidden/>
    <w:unhideWhenUsed/>
    <w:rsid w:val="00E53F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CAB"/>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FF74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E33"/>
    <w:rPr>
      <w:color w:val="0000FF" w:themeColor="hyperlink"/>
      <w:u w:val="single"/>
    </w:rPr>
  </w:style>
  <w:style w:type="paragraph" w:styleId="NormalWeb">
    <w:name w:val="Normal (Web)"/>
    <w:basedOn w:val="Normal"/>
    <w:uiPriority w:val="99"/>
    <w:rsid w:val="00210E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74"/>
    <w:rPr>
      <w:rFonts w:ascii="Tahoma" w:hAnsi="Tahoma" w:cs="Tahoma"/>
      <w:sz w:val="16"/>
      <w:szCs w:val="16"/>
    </w:rPr>
  </w:style>
  <w:style w:type="table" w:styleId="TableGrid">
    <w:name w:val="Table Grid"/>
    <w:basedOn w:val="TableNormal"/>
    <w:uiPriority w:val="39"/>
    <w:rsid w:val="0003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D56"/>
    <w:rPr>
      <w:sz w:val="16"/>
      <w:szCs w:val="16"/>
    </w:rPr>
  </w:style>
  <w:style w:type="paragraph" w:styleId="CommentText">
    <w:name w:val="annotation text"/>
    <w:basedOn w:val="Normal"/>
    <w:link w:val="CommentTextChar"/>
    <w:uiPriority w:val="99"/>
    <w:semiHidden/>
    <w:unhideWhenUsed/>
    <w:rsid w:val="00087D56"/>
    <w:pPr>
      <w:spacing w:line="240" w:lineRule="auto"/>
    </w:pPr>
    <w:rPr>
      <w:sz w:val="20"/>
      <w:szCs w:val="20"/>
    </w:rPr>
  </w:style>
  <w:style w:type="character" w:customStyle="1" w:styleId="CommentTextChar">
    <w:name w:val="Comment Text Char"/>
    <w:basedOn w:val="DefaultParagraphFont"/>
    <w:link w:val="CommentText"/>
    <w:uiPriority w:val="99"/>
    <w:semiHidden/>
    <w:rsid w:val="00087D56"/>
    <w:rPr>
      <w:sz w:val="20"/>
      <w:szCs w:val="20"/>
    </w:rPr>
  </w:style>
  <w:style w:type="paragraph" w:styleId="CommentSubject">
    <w:name w:val="annotation subject"/>
    <w:basedOn w:val="CommentText"/>
    <w:next w:val="CommentText"/>
    <w:link w:val="CommentSubjectChar"/>
    <w:uiPriority w:val="99"/>
    <w:semiHidden/>
    <w:unhideWhenUsed/>
    <w:rsid w:val="00087D56"/>
    <w:rPr>
      <w:b/>
      <w:bCs/>
    </w:rPr>
  </w:style>
  <w:style w:type="character" w:customStyle="1" w:styleId="CommentSubjectChar">
    <w:name w:val="Comment Subject Char"/>
    <w:basedOn w:val="CommentTextChar"/>
    <w:link w:val="CommentSubject"/>
    <w:uiPriority w:val="99"/>
    <w:semiHidden/>
    <w:rsid w:val="00087D56"/>
    <w:rPr>
      <w:b/>
      <w:bCs/>
      <w:sz w:val="20"/>
      <w:szCs w:val="20"/>
    </w:rPr>
  </w:style>
  <w:style w:type="character" w:styleId="Strong">
    <w:name w:val="Strong"/>
    <w:basedOn w:val="DefaultParagraphFont"/>
    <w:uiPriority w:val="22"/>
    <w:qFormat/>
    <w:rsid w:val="00F67810"/>
    <w:rPr>
      <w:b/>
      <w:bCs/>
    </w:rPr>
  </w:style>
  <w:style w:type="character" w:styleId="HTMLCite">
    <w:name w:val="HTML Cite"/>
    <w:basedOn w:val="DefaultParagraphFont"/>
    <w:uiPriority w:val="99"/>
    <w:semiHidden/>
    <w:unhideWhenUsed/>
    <w:rsid w:val="00F67810"/>
    <w:rPr>
      <w:i/>
      <w:iCs/>
    </w:rPr>
  </w:style>
  <w:style w:type="character" w:customStyle="1" w:styleId="cit-vol2">
    <w:name w:val="cit-vol2"/>
    <w:basedOn w:val="DefaultParagraphFont"/>
    <w:rsid w:val="00F67810"/>
  </w:style>
  <w:style w:type="character" w:customStyle="1" w:styleId="cit-fpage">
    <w:name w:val="cit-fpage"/>
    <w:basedOn w:val="DefaultParagraphFont"/>
    <w:rsid w:val="00F67810"/>
  </w:style>
  <w:style w:type="character" w:customStyle="1" w:styleId="cit-lpage">
    <w:name w:val="cit-lpage"/>
    <w:basedOn w:val="DefaultParagraphFont"/>
    <w:rsid w:val="00F67810"/>
  </w:style>
  <w:style w:type="character" w:styleId="FollowedHyperlink">
    <w:name w:val="FollowedHyperlink"/>
    <w:basedOn w:val="DefaultParagraphFont"/>
    <w:uiPriority w:val="99"/>
    <w:semiHidden/>
    <w:unhideWhenUsed/>
    <w:rsid w:val="00E53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994">
      <w:bodyDiv w:val="1"/>
      <w:marLeft w:val="0"/>
      <w:marRight w:val="0"/>
      <w:marTop w:val="0"/>
      <w:marBottom w:val="0"/>
      <w:divBdr>
        <w:top w:val="none" w:sz="0" w:space="0" w:color="auto"/>
        <w:left w:val="none" w:sz="0" w:space="0" w:color="auto"/>
        <w:bottom w:val="none" w:sz="0" w:space="0" w:color="auto"/>
        <w:right w:val="none" w:sz="0" w:space="0" w:color="auto"/>
      </w:divBdr>
    </w:div>
    <w:div w:id="336540967">
      <w:bodyDiv w:val="1"/>
      <w:marLeft w:val="0"/>
      <w:marRight w:val="0"/>
      <w:marTop w:val="0"/>
      <w:marBottom w:val="0"/>
      <w:divBdr>
        <w:top w:val="none" w:sz="0" w:space="0" w:color="auto"/>
        <w:left w:val="none" w:sz="0" w:space="0" w:color="auto"/>
        <w:bottom w:val="none" w:sz="0" w:space="0" w:color="auto"/>
        <w:right w:val="none" w:sz="0" w:space="0" w:color="auto"/>
      </w:divBdr>
    </w:div>
    <w:div w:id="721639663">
      <w:bodyDiv w:val="1"/>
      <w:marLeft w:val="0"/>
      <w:marRight w:val="0"/>
      <w:marTop w:val="0"/>
      <w:marBottom w:val="0"/>
      <w:divBdr>
        <w:top w:val="none" w:sz="0" w:space="0" w:color="auto"/>
        <w:left w:val="none" w:sz="0" w:space="0" w:color="auto"/>
        <w:bottom w:val="none" w:sz="0" w:space="0" w:color="auto"/>
        <w:right w:val="none" w:sz="0" w:space="0" w:color="auto"/>
      </w:divBdr>
    </w:div>
    <w:div w:id="889727478">
      <w:bodyDiv w:val="1"/>
      <w:marLeft w:val="0"/>
      <w:marRight w:val="0"/>
      <w:marTop w:val="0"/>
      <w:marBottom w:val="0"/>
      <w:divBdr>
        <w:top w:val="none" w:sz="0" w:space="0" w:color="auto"/>
        <w:left w:val="none" w:sz="0" w:space="0" w:color="auto"/>
        <w:bottom w:val="none" w:sz="0" w:space="0" w:color="auto"/>
        <w:right w:val="none" w:sz="0" w:space="0" w:color="auto"/>
      </w:divBdr>
    </w:div>
    <w:div w:id="1769738435">
      <w:bodyDiv w:val="1"/>
      <w:marLeft w:val="0"/>
      <w:marRight w:val="0"/>
      <w:marTop w:val="0"/>
      <w:marBottom w:val="0"/>
      <w:divBdr>
        <w:top w:val="none" w:sz="0" w:space="0" w:color="auto"/>
        <w:left w:val="none" w:sz="0" w:space="0" w:color="auto"/>
        <w:bottom w:val="none" w:sz="0" w:space="0" w:color="auto"/>
        <w:right w:val="none" w:sz="0" w:space="0" w:color="auto"/>
      </w:divBdr>
    </w:div>
    <w:div w:id="2021616736">
      <w:bodyDiv w:val="1"/>
      <w:marLeft w:val="0"/>
      <w:marRight w:val="0"/>
      <w:marTop w:val="0"/>
      <w:marBottom w:val="0"/>
      <w:divBdr>
        <w:top w:val="none" w:sz="0" w:space="0" w:color="auto"/>
        <w:left w:val="none" w:sz="0" w:space="0" w:color="auto"/>
        <w:bottom w:val="none" w:sz="0" w:space="0" w:color="auto"/>
        <w:right w:val="none" w:sz="0" w:space="0" w:color="auto"/>
      </w:divBdr>
    </w:div>
    <w:div w:id="21282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indicators.hscic.gov.uk/web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MURs" TargetMode="External"/><Relationship Id="rId5" Type="http://schemas.openxmlformats.org/officeDocument/2006/relationships/settings" Target="settings.xml"/><Relationship Id="rId10" Type="http://schemas.openxmlformats.org/officeDocument/2006/relationships/hyperlink" Target="https://www.gov.uk/government/publications/nhs-national-tariff-payment-system-201617" TargetMode="External"/><Relationship Id="rId4" Type="http://schemas.microsoft.com/office/2007/relationships/stylesWithEffects" Target="stylesWithEffects.xml"/><Relationship Id="rId9" Type="http://schemas.openxmlformats.org/officeDocument/2006/relationships/hyperlink" Target="http://www.nice.org.uk/guidance/n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Copy%20of%20VW%20Spreadsheet%20upd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opy%20of%20VW%20Spreadsheet%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rPr>
              <a:t>Figure1: Reasons for Referral for Post-Discharge Domiciliary Medicines Review</a:t>
            </a:r>
            <a:endParaRPr lang="en-GB" sz="1100" baseline="0">
              <a:effectLst/>
            </a:endParaRPr>
          </a:p>
        </c:rich>
      </c:tx>
      <c:layout>
        <c:manualLayout>
          <c:xMode val="edge"/>
          <c:yMode val="edge"/>
          <c:x val="0.11828521434820648"/>
          <c:y val="1.9614253023864006E-2"/>
        </c:manualLayout>
      </c:layout>
      <c:overlay val="0"/>
    </c:title>
    <c:autoTitleDeleted val="0"/>
    <c:plotArea>
      <c:layout/>
      <c:barChart>
        <c:barDir val="col"/>
        <c:grouping val="clustered"/>
        <c:varyColors val="0"/>
        <c:ser>
          <c:idx val="0"/>
          <c:order val="0"/>
          <c:tx>
            <c:strRef>
              <c:f>Sheet1!$B$1</c:f>
              <c:strCache>
                <c:ptCount val="1"/>
                <c:pt idx="0">
                  <c:v>Number of Patients</c:v>
                </c:pt>
              </c:strCache>
            </c:strRef>
          </c:tx>
          <c:invertIfNegative val="0"/>
          <c:cat>
            <c:strRef>
              <c:f>Sheet1!$A$2:$A$9</c:f>
              <c:strCache>
                <c:ptCount val="8"/>
                <c:pt idx="0">
                  <c:v>Difficulties in managing medicines</c:v>
                </c:pt>
                <c:pt idx="1">
                  <c:v>Needs further education on use of medicines</c:v>
                </c:pt>
                <c:pt idx="2">
                  <c:v>At risk of medicines related falls </c:v>
                </c:pt>
                <c:pt idx="3">
                  <c:v>Changes to medicines which may need explaining</c:v>
                </c:pt>
                <c:pt idx="4">
                  <c:v>Recent unplanned medicines related hospital admission</c:v>
                </c:pt>
                <c:pt idx="5">
                  <c:v>High risk medication</c:v>
                </c:pt>
                <c:pt idx="6">
                  <c:v>AKI related readmission</c:v>
                </c:pt>
                <c:pt idx="7">
                  <c:v>May have unwanted medication in home as a result of changes</c:v>
                </c:pt>
              </c:strCache>
            </c:strRef>
          </c:cat>
          <c:val>
            <c:numRef>
              <c:f>Sheet1!$B$2:$B$9</c:f>
              <c:numCache>
                <c:formatCode>General</c:formatCode>
                <c:ptCount val="8"/>
                <c:pt idx="0">
                  <c:v>1</c:v>
                </c:pt>
                <c:pt idx="1">
                  <c:v>13</c:v>
                </c:pt>
                <c:pt idx="2">
                  <c:v>1</c:v>
                </c:pt>
                <c:pt idx="3">
                  <c:v>17</c:v>
                </c:pt>
                <c:pt idx="4">
                  <c:v>1</c:v>
                </c:pt>
                <c:pt idx="5">
                  <c:v>10</c:v>
                </c:pt>
                <c:pt idx="6">
                  <c:v>2</c:v>
                </c:pt>
                <c:pt idx="7">
                  <c:v>7</c:v>
                </c:pt>
              </c:numCache>
            </c:numRef>
          </c:val>
        </c:ser>
        <c:dLbls>
          <c:showLegendKey val="0"/>
          <c:showVal val="0"/>
          <c:showCatName val="0"/>
          <c:showSerName val="0"/>
          <c:showPercent val="0"/>
          <c:showBubbleSize val="0"/>
        </c:dLbls>
        <c:gapWidth val="150"/>
        <c:axId val="47056000"/>
        <c:axId val="47057536"/>
      </c:barChart>
      <c:catAx>
        <c:axId val="47056000"/>
        <c:scaling>
          <c:orientation val="minMax"/>
        </c:scaling>
        <c:delete val="0"/>
        <c:axPos val="b"/>
        <c:numFmt formatCode="General" sourceLinked="0"/>
        <c:majorTickMark val="out"/>
        <c:minorTickMark val="none"/>
        <c:tickLblPos val="nextTo"/>
        <c:crossAx val="47057536"/>
        <c:crosses val="autoZero"/>
        <c:auto val="1"/>
        <c:lblAlgn val="ctr"/>
        <c:lblOffset val="100"/>
        <c:noMultiLvlLbl val="0"/>
      </c:catAx>
      <c:valAx>
        <c:axId val="47057536"/>
        <c:scaling>
          <c:orientation val="minMax"/>
        </c:scaling>
        <c:delete val="0"/>
        <c:axPos val="l"/>
        <c:majorGridlines/>
        <c:numFmt formatCode="General" sourceLinked="1"/>
        <c:majorTickMark val="out"/>
        <c:minorTickMark val="none"/>
        <c:tickLblPos val="nextTo"/>
        <c:crossAx val="470560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Figure 2: Type of Interventions Made During Post Discharge Domiciliary Medication Reviews </a:t>
            </a:r>
          </a:p>
        </c:rich>
      </c:tx>
      <c:layout>
        <c:manualLayout>
          <c:xMode val="edge"/>
          <c:yMode val="edge"/>
          <c:x val="0.145630257756242"/>
          <c:y val="1.9649582446373014E-2"/>
        </c:manualLayout>
      </c:layout>
      <c:overlay val="0"/>
    </c:title>
    <c:autoTitleDeleted val="0"/>
    <c:plotArea>
      <c:layout/>
      <c:barChart>
        <c:barDir val="col"/>
        <c:grouping val="clustered"/>
        <c:varyColors val="0"/>
        <c:ser>
          <c:idx val="0"/>
          <c:order val="0"/>
          <c:tx>
            <c:strRef>
              <c:f>Sheet1!$F$1</c:f>
              <c:strCache>
                <c:ptCount val="1"/>
                <c:pt idx="0">
                  <c:v>Number of Patients</c:v>
                </c:pt>
              </c:strCache>
            </c:strRef>
          </c:tx>
          <c:invertIfNegative val="0"/>
          <c:cat>
            <c:strRef>
              <c:f>Sheet1!$E$2:$E$12</c:f>
              <c:strCache>
                <c:ptCount val="11"/>
                <c:pt idx="0">
                  <c:v>Medicines optimisation</c:v>
                </c:pt>
                <c:pt idx="1">
                  <c:v>Medicines education</c:v>
                </c:pt>
                <c:pt idx="2">
                  <c:v>Adherence advice</c:v>
                </c:pt>
                <c:pt idx="3">
                  <c:v>Inhaler technique</c:v>
                </c:pt>
                <c:pt idx="4">
                  <c:v>Compliance aid initiation</c:v>
                </c:pt>
                <c:pt idx="5">
                  <c:v>Patient education</c:v>
                </c:pt>
                <c:pt idx="6">
                  <c:v>Waste medication</c:v>
                </c:pt>
                <c:pt idx="7">
                  <c:v>Controlled Drug issues</c:v>
                </c:pt>
                <c:pt idx="8">
                  <c:v>Critical incidents</c:v>
                </c:pt>
                <c:pt idx="9">
                  <c:v>Signposting</c:v>
                </c:pt>
                <c:pt idx="10">
                  <c:v>Admission avoidance</c:v>
                </c:pt>
              </c:strCache>
            </c:strRef>
          </c:cat>
          <c:val>
            <c:numRef>
              <c:f>Sheet1!$F$2:$F$12</c:f>
              <c:numCache>
                <c:formatCode>General</c:formatCode>
                <c:ptCount val="11"/>
                <c:pt idx="0">
                  <c:v>8</c:v>
                </c:pt>
                <c:pt idx="1">
                  <c:v>16</c:v>
                </c:pt>
                <c:pt idx="2">
                  <c:v>4</c:v>
                </c:pt>
                <c:pt idx="3">
                  <c:v>3</c:v>
                </c:pt>
                <c:pt idx="4">
                  <c:v>2</c:v>
                </c:pt>
                <c:pt idx="5">
                  <c:v>14</c:v>
                </c:pt>
                <c:pt idx="6">
                  <c:v>1</c:v>
                </c:pt>
                <c:pt idx="7">
                  <c:v>0</c:v>
                </c:pt>
                <c:pt idx="8">
                  <c:v>5</c:v>
                </c:pt>
                <c:pt idx="9">
                  <c:v>2</c:v>
                </c:pt>
                <c:pt idx="10">
                  <c:v>2</c:v>
                </c:pt>
              </c:numCache>
            </c:numRef>
          </c:val>
        </c:ser>
        <c:dLbls>
          <c:showLegendKey val="0"/>
          <c:showVal val="0"/>
          <c:showCatName val="0"/>
          <c:showSerName val="0"/>
          <c:showPercent val="0"/>
          <c:showBubbleSize val="0"/>
        </c:dLbls>
        <c:gapWidth val="150"/>
        <c:axId val="47065344"/>
        <c:axId val="47071232"/>
      </c:barChart>
      <c:catAx>
        <c:axId val="47065344"/>
        <c:scaling>
          <c:orientation val="minMax"/>
        </c:scaling>
        <c:delete val="0"/>
        <c:axPos val="b"/>
        <c:numFmt formatCode="General" sourceLinked="0"/>
        <c:majorTickMark val="out"/>
        <c:minorTickMark val="none"/>
        <c:tickLblPos val="nextTo"/>
        <c:crossAx val="47071232"/>
        <c:crosses val="autoZero"/>
        <c:auto val="1"/>
        <c:lblAlgn val="ctr"/>
        <c:lblOffset val="100"/>
        <c:noMultiLvlLbl val="0"/>
      </c:catAx>
      <c:valAx>
        <c:axId val="47071232"/>
        <c:scaling>
          <c:orientation val="minMax"/>
          <c:max val="16"/>
        </c:scaling>
        <c:delete val="0"/>
        <c:axPos val="l"/>
        <c:majorGridlines/>
        <c:numFmt formatCode="General" sourceLinked="1"/>
        <c:majorTickMark val="out"/>
        <c:minorTickMark val="none"/>
        <c:tickLblPos val="nextTo"/>
        <c:crossAx val="47065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B0BE-8AAE-4C4B-A9B6-A9A4D91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5578</Words>
  <Characters>31798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Ramsbottom</dc:creator>
  <cp:lastModifiedBy>Janet Faye</cp:lastModifiedBy>
  <cp:revision>2</cp:revision>
  <dcterms:created xsi:type="dcterms:W3CDTF">2017-11-22T11:22:00Z</dcterms:created>
  <dcterms:modified xsi:type="dcterms:W3CDTF">2017-11-22T11:22:00Z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11429</vt:lpwstr>
  </property>
  <property fmtid="{D5CDD505-2E9C-101B-9397-08002B2CF9AE}" pid="3" name="WnCSubscriberId">
    <vt:lpwstr>7002</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Documents///Referral Pilot Evaluation</vt:lpwstr>
  </property>
</Properties>
</file>